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154A2" w:rsidRPr="00CF0302" w:rsidRDefault="00D852E3" w:rsidP="00CF0302">
      <w:pPr>
        <w:spacing w:before="120" w:after="120" w:line="360" w:lineRule="auto"/>
        <w:jc w:val="center"/>
        <w:rPr>
          <w:rFonts w:ascii="Arial" w:hAnsi="Arial" w:cs="Arial"/>
          <w:sz w:val="28"/>
          <w:szCs w:val="28"/>
        </w:rPr>
      </w:pPr>
      <w:r w:rsidRPr="00CF0302">
        <w:rPr>
          <w:rFonts w:ascii="Arial" w:hAnsi="Arial" w:cs="Arial"/>
          <w:b/>
          <w:sz w:val="28"/>
          <w:szCs w:val="28"/>
        </w:rPr>
        <w:t xml:space="preserve">PROGRAMA </w:t>
      </w:r>
      <w:r w:rsidR="00F0541E" w:rsidRPr="00CF0302">
        <w:rPr>
          <w:rFonts w:ascii="Arial" w:hAnsi="Arial" w:cs="Arial"/>
          <w:b/>
          <w:sz w:val="28"/>
          <w:szCs w:val="28"/>
        </w:rPr>
        <w:t>41KB</w:t>
      </w:r>
    </w:p>
    <w:p w:rsidR="00D852E3" w:rsidRPr="00CF0302" w:rsidRDefault="00A80B4B" w:rsidP="00CF0302">
      <w:pPr>
        <w:spacing w:after="240" w:line="360" w:lineRule="auto"/>
        <w:jc w:val="center"/>
        <w:rPr>
          <w:rFonts w:ascii="Arial" w:hAnsi="Arial" w:cs="Arial"/>
          <w:b/>
          <w:sz w:val="26"/>
          <w:szCs w:val="26"/>
        </w:rPr>
      </w:pPr>
      <w:r w:rsidRPr="00CF0302">
        <w:rPr>
          <w:rFonts w:ascii="Arial" w:hAnsi="Arial" w:cs="Arial"/>
          <w:b/>
          <w:sz w:val="26"/>
          <w:szCs w:val="26"/>
        </w:rPr>
        <w:t>C11 I</w:t>
      </w:r>
      <w:r w:rsidR="006125A7" w:rsidRPr="00CF0302">
        <w:rPr>
          <w:rFonts w:ascii="Arial" w:hAnsi="Arial" w:cs="Arial"/>
          <w:b/>
          <w:sz w:val="26"/>
          <w:szCs w:val="26"/>
        </w:rPr>
        <w:t>0</w:t>
      </w:r>
      <w:r w:rsidRPr="00CF0302">
        <w:rPr>
          <w:rFonts w:ascii="Arial" w:hAnsi="Arial" w:cs="Arial"/>
          <w:b/>
          <w:sz w:val="26"/>
          <w:szCs w:val="26"/>
        </w:rPr>
        <w:t xml:space="preserve">2 </w:t>
      </w:r>
      <w:r w:rsidR="00D852E3" w:rsidRPr="00CF0302">
        <w:rPr>
          <w:rFonts w:ascii="Arial" w:hAnsi="Arial" w:cs="Arial"/>
          <w:b/>
          <w:sz w:val="26"/>
          <w:szCs w:val="26"/>
        </w:rPr>
        <w:t xml:space="preserve">PROYECTOS TRACTORES DE DIGITALIZACIÓN DE LA ADMINISTRACIÓN GENERAL DEL ESTADO. </w:t>
      </w:r>
      <w:r w:rsidR="000C141E" w:rsidRPr="00CF0302">
        <w:rPr>
          <w:rFonts w:ascii="Arial" w:hAnsi="Arial" w:cs="Arial"/>
          <w:b/>
          <w:sz w:val="26"/>
          <w:szCs w:val="26"/>
        </w:rPr>
        <w:t>AGRICULTURA Y ALIMENTACIÓN</w:t>
      </w:r>
    </w:p>
    <w:p w:rsidR="00517824" w:rsidRPr="00517824" w:rsidRDefault="00517824" w:rsidP="00CF0302">
      <w:pPr>
        <w:spacing w:before="120" w:after="120" w:line="360" w:lineRule="auto"/>
        <w:rPr>
          <w:rFonts w:ascii="Arial" w:hAnsi="Arial" w:cs="Arial"/>
          <w:b/>
          <w:sz w:val="22"/>
          <w:szCs w:val="22"/>
        </w:rPr>
      </w:pPr>
      <w:r w:rsidRPr="00517824">
        <w:rPr>
          <w:rFonts w:ascii="Arial" w:hAnsi="Arial" w:cs="Arial"/>
          <w:b/>
          <w:sz w:val="22"/>
          <w:szCs w:val="22"/>
        </w:rPr>
        <w:t xml:space="preserve">1. </w:t>
      </w:r>
      <w:r w:rsidR="00CF0302">
        <w:rPr>
          <w:rFonts w:ascii="Arial" w:hAnsi="Arial" w:cs="Arial"/>
          <w:b/>
          <w:sz w:val="22"/>
          <w:szCs w:val="22"/>
        </w:rPr>
        <w:t>DENOMINACIÓN DEL COMPONENTE</w:t>
      </w:r>
    </w:p>
    <w:p w:rsidR="00A810EF" w:rsidRDefault="00A810EF" w:rsidP="00CF0302">
      <w:pPr>
        <w:spacing w:before="120" w:after="120" w:line="360" w:lineRule="auto"/>
        <w:ind w:firstLine="708"/>
        <w:jc w:val="both"/>
        <w:rPr>
          <w:rFonts w:ascii="Arial" w:hAnsi="Arial" w:cs="Arial"/>
          <w:sz w:val="22"/>
          <w:szCs w:val="22"/>
        </w:rPr>
      </w:pPr>
      <w:r w:rsidRPr="00A810EF">
        <w:rPr>
          <w:rFonts w:ascii="Arial" w:hAnsi="Arial" w:cs="Arial"/>
          <w:sz w:val="22"/>
          <w:szCs w:val="22"/>
        </w:rPr>
        <w:t>Modernización de las Administraciones Públicas</w:t>
      </w:r>
      <w:r w:rsidR="0030314E">
        <w:rPr>
          <w:rFonts w:ascii="Arial" w:hAnsi="Arial" w:cs="Arial"/>
          <w:sz w:val="22"/>
          <w:szCs w:val="22"/>
        </w:rPr>
        <w:t>.</w:t>
      </w:r>
    </w:p>
    <w:p w:rsidR="00517824" w:rsidRPr="00517824" w:rsidRDefault="00517824" w:rsidP="00CF0302">
      <w:pPr>
        <w:spacing w:before="120" w:after="120" w:line="360" w:lineRule="auto"/>
        <w:rPr>
          <w:rFonts w:ascii="Arial" w:hAnsi="Arial" w:cs="Arial"/>
          <w:b/>
          <w:sz w:val="22"/>
          <w:szCs w:val="22"/>
        </w:rPr>
      </w:pPr>
      <w:r w:rsidRPr="00517824">
        <w:rPr>
          <w:rFonts w:ascii="Arial" w:hAnsi="Arial" w:cs="Arial"/>
          <w:b/>
          <w:sz w:val="22"/>
          <w:szCs w:val="22"/>
        </w:rPr>
        <w:t xml:space="preserve">2. </w:t>
      </w:r>
      <w:r w:rsidR="00A80B4B" w:rsidRPr="00517824">
        <w:rPr>
          <w:rFonts w:ascii="Arial" w:hAnsi="Arial" w:cs="Arial"/>
          <w:b/>
          <w:sz w:val="22"/>
          <w:szCs w:val="22"/>
        </w:rPr>
        <w:t>DESCRIPCIÓN GENERAL DEL COMPONENTE</w:t>
      </w:r>
    </w:p>
    <w:p w:rsidR="00A810EF" w:rsidRPr="00A810EF" w:rsidRDefault="00A810EF" w:rsidP="00CF0302">
      <w:pPr>
        <w:spacing w:before="120" w:after="120" w:line="360" w:lineRule="auto"/>
        <w:ind w:firstLine="708"/>
        <w:jc w:val="both"/>
        <w:rPr>
          <w:rFonts w:ascii="Arial" w:hAnsi="Arial" w:cs="Arial"/>
          <w:sz w:val="22"/>
          <w:szCs w:val="22"/>
        </w:rPr>
      </w:pPr>
      <w:r w:rsidRPr="00A810EF">
        <w:rPr>
          <w:rFonts w:ascii="Arial" w:hAnsi="Arial" w:cs="Arial"/>
          <w:sz w:val="22"/>
          <w:szCs w:val="22"/>
        </w:rPr>
        <w:t>El Plan de Recuperación afronta uno de los retos de la sociedad española muchas veces retrasado: la reforma y modernización de la administración pública, con el fin de adaptarla a los retos de la sociedad contemporánea.</w:t>
      </w:r>
    </w:p>
    <w:p w:rsidR="00A810EF" w:rsidRPr="00A810EF" w:rsidRDefault="00A810EF" w:rsidP="00CF0302">
      <w:pPr>
        <w:spacing w:before="120" w:after="120" w:line="360" w:lineRule="auto"/>
        <w:ind w:firstLine="708"/>
        <w:jc w:val="both"/>
        <w:rPr>
          <w:rFonts w:ascii="Arial" w:hAnsi="Arial" w:cs="Arial"/>
          <w:sz w:val="22"/>
          <w:szCs w:val="22"/>
        </w:rPr>
      </w:pPr>
      <w:r w:rsidRPr="00A810EF">
        <w:rPr>
          <w:rFonts w:ascii="Arial" w:hAnsi="Arial" w:cs="Arial"/>
          <w:sz w:val="22"/>
          <w:szCs w:val="22"/>
        </w:rPr>
        <w:t xml:space="preserve">La transformación eficaz del tejido productivo español que se tiene que producir en los próximos años sólo será posible si se actualiza la administración pública, dado su papel clave en el buen funcionamiento de la economía. </w:t>
      </w:r>
    </w:p>
    <w:p w:rsidR="00A810EF" w:rsidRPr="00A810EF" w:rsidRDefault="00A810EF" w:rsidP="00CF0302">
      <w:pPr>
        <w:spacing w:before="120" w:after="120" w:line="360" w:lineRule="auto"/>
        <w:ind w:firstLine="708"/>
        <w:jc w:val="both"/>
        <w:rPr>
          <w:rFonts w:ascii="Arial" w:hAnsi="Arial" w:cs="Arial"/>
          <w:sz w:val="22"/>
          <w:szCs w:val="22"/>
        </w:rPr>
      </w:pPr>
      <w:r w:rsidRPr="00A810EF">
        <w:rPr>
          <w:rFonts w:ascii="Arial" w:hAnsi="Arial" w:cs="Arial"/>
          <w:sz w:val="22"/>
          <w:szCs w:val="22"/>
        </w:rPr>
        <w:t>El plan afronta además uno de los grandes retos de la democracia española: la agilización de la justicia a través de reformas en los procedimientos y modernización de sus infraestructuras.</w:t>
      </w:r>
    </w:p>
    <w:p w:rsidR="00517824" w:rsidRPr="00517824" w:rsidRDefault="00517824" w:rsidP="00CF0302">
      <w:pPr>
        <w:spacing w:before="120" w:after="120" w:line="360" w:lineRule="auto"/>
        <w:rPr>
          <w:rFonts w:ascii="Arial" w:hAnsi="Arial" w:cs="Arial"/>
          <w:b/>
          <w:sz w:val="22"/>
          <w:szCs w:val="22"/>
        </w:rPr>
      </w:pPr>
      <w:r w:rsidRPr="00517824">
        <w:rPr>
          <w:rFonts w:ascii="Arial" w:hAnsi="Arial" w:cs="Arial"/>
          <w:b/>
          <w:sz w:val="22"/>
          <w:szCs w:val="22"/>
        </w:rPr>
        <w:t xml:space="preserve">3. </w:t>
      </w:r>
      <w:r w:rsidR="00A80B4B" w:rsidRPr="00517824">
        <w:rPr>
          <w:rFonts w:ascii="Arial" w:hAnsi="Arial" w:cs="Arial"/>
          <w:b/>
          <w:sz w:val="22"/>
          <w:szCs w:val="22"/>
        </w:rPr>
        <w:t>PRINCIPALES OBJETIVOS DEL COMPONENTE</w:t>
      </w:r>
    </w:p>
    <w:p w:rsidR="00A810EF" w:rsidRPr="00A810EF" w:rsidRDefault="00A810EF" w:rsidP="00CF0302">
      <w:pPr>
        <w:spacing w:before="120" w:after="120" w:line="360" w:lineRule="auto"/>
        <w:ind w:firstLine="708"/>
        <w:jc w:val="both"/>
        <w:rPr>
          <w:rFonts w:ascii="Arial" w:hAnsi="Arial" w:cs="Arial"/>
          <w:sz w:val="22"/>
          <w:szCs w:val="22"/>
        </w:rPr>
      </w:pPr>
      <w:r w:rsidRPr="00A810EF">
        <w:rPr>
          <w:rFonts w:ascii="Arial" w:hAnsi="Arial" w:cs="Arial"/>
          <w:sz w:val="22"/>
          <w:szCs w:val="22"/>
        </w:rPr>
        <w:t>Los objetivos del componente descansan en cuatro ejes:</w:t>
      </w:r>
    </w:p>
    <w:p w:rsidR="00A810EF" w:rsidRPr="00A810EF" w:rsidRDefault="00A810EF" w:rsidP="00CF0302">
      <w:pPr>
        <w:spacing w:before="120" w:after="120" w:line="360" w:lineRule="auto"/>
        <w:jc w:val="both"/>
        <w:rPr>
          <w:rFonts w:ascii="Arial" w:hAnsi="Arial" w:cs="Arial"/>
          <w:sz w:val="22"/>
          <w:szCs w:val="22"/>
        </w:rPr>
      </w:pPr>
      <w:r w:rsidRPr="00A810EF">
        <w:rPr>
          <w:rFonts w:ascii="Arial" w:hAnsi="Arial" w:cs="Arial"/>
          <w:sz w:val="22"/>
          <w:szCs w:val="22"/>
        </w:rPr>
        <w:t>(i) Digitalización de la administración y sus procesos, mediante la introducción de nuevas tecnologías y la simplificación de procedimientos, orientando el conjunto de las unidades administrativas a la atención a la ciudadanía y la resolución de sus problemas.</w:t>
      </w:r>
    </w:p>
    <w:p w:rsidR="00A810EF" w:rsidRPr="00A810EF" w:rsidRDefault="00A810EF" w:rsidP="00CF0302">
      <w:pPr>
        <w:spacing w:before="120" w:after="120" w:line="360" w:lineRule="auto"/>
        <w:jc w:val="both"/>
        <w:rPr>
          <w:rFonts w:ascii="Arial" w:hAnsi="Arial" w:cs="Arial"/>
          <w:sz w:val="22"/>
          <w:szCs w:val="22"/>
        </w:rPr>
      </w:pPr>
      <w:r w:rsidRPr="00A810EF">
        <w:rPr>
          <w:rFonts w:ascii="Arial" w:hAnsi="Arial" w:cs="Arial"/>
          <w:sz w:val="22"/>
          <w:szCs w:val="22"/>
        </w:rPr>
        <w:t>(ii) Reducción de la temporalidad de los empleados públicos y mejora de su formación.</w:t>
      </w:r>
    </w:p>
    <w:p w:rsidR="00A810EF" w:rsidRPr="00A810EF" w:rsidRDefault="00A810EF" w:rsidP="00CF0302">
      <w:pPr>
        <w:spacing w:before="120" w:after="120" w:line="360" w:lineRule="auto"/>
        <w:jc w:val="both"/>
        <w:rPr>
          <w:rFonts w:ascii="Arial" w:hAnsi="Arial" w:cs="Arial"/>
          <w:sz w:val="22"/>
          <w:szCs w:val="22"/>
        </w:rPr>
      </w:pPr>
      <w:r w:rsidRPr="00A810EF">
        <w:rPr>
          <w:rFonts w:ascii="Arial" w:hAnsi="Arial" w:cs="Arial"/>
          <w:sz w:val="22"/>
          <w:szCs w:val="22"/>
        </w:rPr>
        <w:t>(iii) Transición energética de la administración, a través de la rehabilitación de sus edificios y la utilización de energías renovables.</w:t>
      </w:r>
    </w:p>
    <w:p w:rsidR="00A810EF" w:rsidRDefault="00A810EF" w:rsidP="00CF0302">
      <w:pPr>
        <w:spacing w:before="120" w:after="120" w:line="360" w:lineRule="auto"/>
        <w:jc w:val="both"/>
        <w:rPr>
          <w:rFonts w:ascii="Arial" w:hAnsi="Arial" w:cs="Arial"/>
          <w:sz w:val="22"/>
          <w:szCs w:val="22"/>
        </w:rPr>
      </w:pPr>
      <w:r w:rsidRPr="00A810EF">
        <w:rPr>
          <w:rFonts w:ascii="Arial" w:hAnsi="Arial" w:cs="Arial"/>
          <w:sz w:val="22"/>
          <w:szCs w:val="22"/>
        </w:rPr>
        <w:t>(iv) La modernización de la gestión pública, asegurando un nuevo modelo de gobernanza más estratégico y con un seguimiento que permita una mejor rendición de cuentas.</w:t>
      </w:r>
    </w:p>
    <w:p w:rsidR="00517824" w:rsidRPr="00517824" w:rsidRDefault="00517824" w:rsidP="00CF0302">
      <w:pPr>
        <w:spacing w:before="120" w:after="120" w:line="360" w:lineRule="auto"/>
        <w:rPr>
          <w:rFonts w:ascii="Arial" w:hAnsi="Arial" w:cs="Arial"/>
          <w:b/>
          <w:sz w:val="22"/>
          <w:szCs w:val="22"/>
        </w:rPr>
      </w:pPr>
      <w:r w:rsidRPr="00517824">
        <w:rPr>
          <w:rFonts w:ascii="Arial" w:hAnsi="Arial" w:cs="Arial"/>
          <w:b/>
          <w:sz w:val="22"/>
          <w:szCs w:val="22"/>
        </w:rPr>
        <w:t xml:space="preserve">4. </w:t>
      </w:r>
      <w:r w:rsidR="00A80B4B" w:rsidRPr="00517824">
        <w:rPr>
          <w:rFonts w:ascii="Arial" w:hAnsi="Arial" w:cs="Arial"/>
          <w:b/>
          <w:sz w:val="22"/>
          <w:szCs w:val="22"/>
        </w:rPr>
        <w:t>DESCRIPCIÓN DE LA INVERSIÓN</w:t>
      </w:r>
    </w:p>
    <w:p w:rsidR="00A810EF" w:rsidRPr="00B65E2B" w:rsidRDefault="00A810EF" w:rsidP="00CF0302">
      <w:pPr>
        <w:spacing w:before="120" w:after="120" w:line="360" w:lineRule="auto"/>
        <w:jc w:val="both"/>
        <w:rPr>
          <w:rFonts w:ascii="Arial" w:hAnsi="Arial" w:cs="Arial"/>
          <w:sz w:val="22"/>
          <w:szCs w:val="22"/>
        </w:rPr>
      </w:pPr>
      <w:r w:rsidRPr="00B65E2B">
        <w:rPr>
          <w:rFonts w:ascii="Arial" w:hAnsi="Arial" w:cs="Arial"/>
          <w:sz w:val="22"/>
          <w:szCs w:val="22"/>
        </w:rPr>
        <w:t>Inversión nº2: Proyectos tractores de digitalización de la Administración General del Estado. Proyecto tractor realizado por el Ministerio de Agricultura, Pesca y Alimentación</w:t>
      </w:r>
      <w:r w:rsidR="006022E2">
        <w:rPr>
          <w:rFonts w:ascii="Arial" w:hAnsi="Arial" w:cs="Arial"/>
          <w:sz w:val="22"/>
          <w:szCs w:val="22"/>
        </w:rPr>
        <w:t>.</w:t>
      </w:r>
    </w:p>
    <w:p w:rsidR="00A810EF" w:rsidRPr="00A810EF" w:rsidRDefault="00A810EF" w:rsidP="00CF0302">
      <w:pPr>
        <w:spacing w:before="120" w:after="120" w:line="360" w:lineRule="auto"/>
        <w:ind w:firstLine="708"/>
        <w:jc w:val="both"/>
        <w:rPr>
          <w:rFonts w:ascii="Arial" w:hAnsi="Arial" w:cs="Arial"/>
          <w:sz w:val="22"/>
          <w:szCs w:val="22"/>
        </w:rPr>
      </w:pPr>
      <w:r w:rsidRPr="00A810EF">
        <w:rPr>
          <w:rFonts w:ascii="Arial" w:hAnsi="Arial" w:cs="Arial"/>
          <w:sz w:val="22"/>
          <w:szCs w:val="22"/>
        </w:rPr>
        <w:lastRenderedPageBreak/>
        <w:t>Los proyectos tractores de digitalización de la Administración General del Estado son seis iniciativas para la transformación digital de las Administraciones de sanidad, justicia, el Servicio Público de Empleo, la Seguridad Social, las migraciones y las políticas de inclusión, los consulados, y una lanzadera de proyectos tractores en Interior y Defensa, Agricultura y Consumo. Aquí nos centramos en el proyecto tractor realizado por el Ministerio de Agricultura, Pesca y Alimentación.</w:t>
      </w:r>
    </w:p>
    <w:p w:rsidR="00A810EF" w:rsidRPr="00A810EF" w:rsidRDefault="00A810EF" w:rsidP="00CF0302">
      <w:pPr>
        <w:spacing w:before="120" w:after="120" w:line="360" w:lineRule="auto"/>
        <w:ind w:firstLine="708"/>
        <w:jc w:val="both"/>
        <w:rPr>
          <w:rFonts w:ascii="Arial" w:hAnsi="Arial" w:cs="Arial"/>
          <w:sz w:val="22"/>
          <w:szCs w:val="22"/>
        </w:rPr>
      </w:pPr>
      <w:r w:rsidRPr="00A810EF">
        <w:rPr>
          <w:rFonts w:ascii="Arial" w:hAnsi="Arial" w:cs="Arial"/>
          <w:sz w:val="22"/>
          <w:szCs w:val="22"/>
        </w:rPr>
        <w:t>La puesta en marcha de la nueva Política Agrícola Común (PAC) a partir de 2023, pasando de un modelo basado en el cumplimiento de criterios de elegibilidad, a un modelo basado en la consecución de determinados indicadores de rendimiento</w:t>
      </w:r>
      <w:r w:rsidR="006022E2">
        <w:rPr>
          <w:rFonts w:ascii="Arial" w:hAnsi="Arial" w:cs="Arial"/>
          <w:sz w:val="22"/>
          <w:szCs w:val="22"/>
        </w:rPr>
        <w:t>,</w:t>
      </w:r>
      <w:r w:rsidRPr="00A810EF">
        <w:rPr>
          <w:rFonts w:ascii="Arial" w:hAnsi="Arial" w:cs="Arial"/>
          <w:sz w:val="22"/>
          <w:szCs w:val="22"/>
        </w:rPr>
        <w:t xml:space="preserve"> trae consigo cambios importantes en los sistemas de gestión de las ayudas. Por ello, es necesario realizar las inversiones adecuadas en el sistema de seguimiento y gestión de las explotaciones agrícolas y ganaderas</w:t>
      </w:r>
      <w:r w:rsidR="006022E2">
        <w:rPr>
          <w:rFonts w:ascii="Arial" w:hAnsi="Arial" w:cs="Arial"/>
          <w:sz w:val="22"/>
          <w:szCs w:val="22"/>
        </w:rPr>
        <w:t>,</w:t>
      </w:r>
      <w:r w:rsidRPr="00A810EF">
        <w:rPr>
          <w:rFonts w:ascii="Arial" w:hAnsi="Arial" w:cs="Arial"/>
          <w:sz w:val="22"/>
          <w:szCs w:val="22"/>
        </w:rPr>
        <w:t xml:space="preserve"> para asegurar que el nuevo sistema de evaluación de la PAC</w:t>
      </w:r>
      <w:r w:rsidR="006022E2">
        <w:rPr>
          <w:rFonts w:ascii="Arial" w:hAnsi="Arial" w:cs="Arial"/>
          <w:sz w:val="22"/>
          <w:szCs w:val="22"/>
        </w:rPr>
        <w:t>,</w:t>
      </w:r>
      <w:r w:rsidRPr="00A810EF">
        <w:rPr>
          <w:rFonts w:ascii="Arial" w:hAnsi="Arial" w:cs="Arial"/>
          <w:sz w:val="22"/>
          <w:szCs w:val="22"/>
        </w:rPr>
        <w:t xml:space="preserve"> basado en el cumplimiento de indicadores de rendimiento</w:t>
      </w:r>
      <w:r w:rsidR="006022E2">
        <w:rPr>
          <w:rFonts w:ascii="Arial" w:hAnsi="Arial" w:cs="Arial"/>
          <w:sz w:val="22"/>
          <w:szCs w:val="22"/>
        </w:rPr>
        <w:t>,</w:t>
      </w:r>
      <w:r w:rsidRPr="00A810EF">
        <w:rPr>
          <w:rFonts w:ascii="Arial" w:hAnsi="Arial" w:cs="Arial"/>
          <w:sz w:val="22"/>
          <w:szCs w:val="22"/>
        </w:rPr>
        <w:t xml:space="preserve"> se realiza de manera objetiva y completa. </w:t>
      </w:r>
    </w:p>
    <w:p w:rsidR="00A810EF" w:rsidRPr="00A810EF" w:rsidRDefault="00A810EF" w:rsidP="00CF0302">
      <w:pPr>
        <w:spacing w:before="120" w:after="120" w:line="360" w:lineRule="auto"/>
        <w:ind w:firstLine="708"/>
        <w:jc w:val="both"/>
        <w:rPr>
          <w:rFonts w:ascii="Arial" w:hAnsi="Arial" w:cs="Arial"/>
          <w:sz w:val="22"/>
          <w:szCs w:val="22"/>
        </w:rPr>
      </w:pPr>
      <w:r w:rsidRPr="00A810EF">
        <w:rPr>
          <w:rFonts w:ascii="Arial" w:hAnsi="Arial" w:cs="Arial"/>
          <w:sz w:val="22"/>
          <w:szCs w:val="22"/>
        </w:rPr>
        <w:t xml:space="preserve">Este cambio de modelo de la PAC supone un momento adecuado para llevar a cabo una serie de inversiones en el marco del plan de recuperación y resiliencia, que suponga una apuesta decidida por la digitalización completa de todos los sistemas que se utilizan por la administración para su relación con los agricultores y ganaderos, lo que además debe suponer una simplificación de determinados elementos y la inclusión en el sistema de otros elementos que permitan gestionar la obtención de los indicadores que se establezcan. </w:t>
      </w:r>
    </w:p>
    <w:p w:rsidR="00A810EF" w:rsidRPr="00A810EF" w:rsidRDefault="00A810EF" w:rsidP="00CF0302">
      <w:pPr>
        <w:spacing w:before="120" w:after="120" w:line="360" w:lineRule="auto"/>
        <w:ind w:firstLine="708"/>
        <w:jc w:val="both"/>
        <w:rPr>
          <w:rFonts w:ascii="Arial" w:hAnsi="Arial" w:cs="Arial"/>
          <w:sz w:val="22"/>
          <w:szCs w:val="22"/>
        </w:rPr>
      </w:pPr>
      <w:r w:rsidRPr="00A810EF">
        <w:rPr>
          <w:rFonts w:ascii="Arial" w:hAnsi="Arial" w:cs="Arial"/>
          <w:sz w:val="22"/>
          <w:szCs w:val="22"/>
        </w:rPr>
        <w:t>Este es el germen del nuevo Sistema de información de Explotaciones Agrarias (SIEX), que gracias al carácter integral con el que se plantea</w:t>
      </w:r>
      <w:r w:rsidR="001144E1">
        <w:rPr>
          <w:rFonts w:ascii="Arial" w:hAnsi="Arial" w:cs="Arial"/>
          <w:sz w:val="22"/>
          <w:szCs w:val="22"/>
        </w:rPr>
        <w:t>,</w:t>
      </w:r>
      <w:r w:rsidRPr="00A810EF">
        <w:rPr>
          <w:rFonts w:ascii="Arial" w:hAnsi="Arial" w:cs="Arial"/>
          <w:sz w:val="22"/>
          <w:szCs w:val="22"/>
        </w:rPr>
        <w:t xml:space="preserve"> tiene la vocación de dar servicio no solo para la gestión de la PAC, sino a todo el Ministerio de Agricultura, Pesca y Alimentación como apoyo a la gestión de todas sus políticas sectoriales agrícolas y ganaderas</w:t>
      </w:r>
      <w:r w:rsidR="001144E1">
        <w:rPr>
          <w:rFonts w:ascii="Arial" w:hAnsi="Arial" w:cs="Arial"/>
          <w:sz w:val="22"/>
          <w:szCs w:val="22"/>
        </w:rPr>
        <w:t>,</w:t>
      </w:r>
      <w:r w:rsidRPr="00A810EF">
        <w:rPr>
          <w:rFonts w:ascii="Arial" w:hAnsi="Arial" w:cs="Arial"/>
          <w:sz w:val="22"/>
          <w:szCs w:val="22"/>
        </w:rPr>
        <w:t xml:space="preserve"> así como a los propios agricultores y ganaderos que verán simplificada su relación con la administración y podrán reutilizar para su gestión empresarial</w:t>
      </w:r>
      <w:r w:rsidR="001144E1">
        <w:rPr>
          <w:rFonts w:ascii="Arial" w:hAnsi="Arial" w:cs="Arial"/>
          <w:sz w:val="22"/>
          <w:szCs w:val="22"/>
        </w:rPr>
        <w:t>,</w:t>
      </w:r>
      <w:r w:rsidRPr="00A810EF">
        <w:rPr>
          <w:rFonts w:ascii="Arial" w:hAnsi="Arial" w:cs="Arial"/>
          <w:sz w:val="22"/>
          <w:szCs w:val="22"/>
        </w:rPr>
        <w:t xml:space="preserve"> toda la información que sobre sus explotaciones disponga el sistema. El SIEX también dará servicio al cumplimiento y seguimiento de las estrategias “de la granja a la mesa” y de biodiversidad, dentro del pacto verde. </w:t>
      </w:r>
    </w:p>
    <w:p w:rsidR="00A810EF" w:rsidRPr="00A810EF" w:rsidRDefault="00A810EF" w:rsidP="00CF0302">
      <w:pPr>
        <w:spacing w:before="120" w:after="120" w:line="360" w:lineRule="auto"/>
        <w:ind w:firstLine="708"/>
        <w:jc w:val="both"/>
        <w:rPr>
          <w:rFonts w:ascii="Arial" w:hAnsi="Arial" w:cs="Arial"/>
          <w:sz w:val="22"/>
          <w:szCs w:val="22"/>
        </w:rPr>
      </w:pPr>
      <w:r w:rsidRPr="00A810EF">
        <w:rPr>
          <w:rFonts w:ascii="Arial" w:hAnsi="Arial" w:cs="Arial"/>
          <w:sz w:val="22"/>
          <w:szCs w:val="22"/>
        </w:rPr>
        <w:t>Por otro lado, el Sistema de Monitorización de Superficies (SMS)</w:t>
      </w:r>
      <w:r w:rsidR="00BC1570">
        <w:rPr>
          <w:rFonts w:ascii="Arial" w:hAnsi="Arial" w:cs="Arial"/>
          <w:sz w:val="22"/>
          <w:szCs w:val="22"/>
        </w:rPr>
        <w:t>,</w:t>
      </w:r>
      <w:r w:rsidRPr="00A810EF">
        <w:rPr>
          <w:rFonts w:ascii="Arial" w:hAnsi="Arial" w:cs="Arial"/>
          <w:sz w:val="22"/>
          <w:szCs w:val="22"/>
        </w:rPr>
        <w:t xml:space="preserve"> que se basa en el uso masivo de imágenes satélite (fundamentalmente de la constelación SENTINEL del programa COPERNICUS), procesadas mediante algoritmos de inteligencia artificial, para el seguimiento de la actividad agraria</w:t>
      </w:r>
      <w:r w:rsidR="00BC1570">
        <w:rPr>
          <w:rFonts w:ascii="Arial" w:hAnsi="Arial" w:cs="Arial"/>
          <w:sz w:val="22"/>
          <w:szCs w:val="22"/>
        </w:rPr>
        <w:t>,</w:t>
      </w:r>
      <w:r w:rsidRPr="00A810EF">
        <w:rPr>
          <w:rFonts w:ascii="Arial" w:hAnsi="Arial" w:cs="Arial"/>
          <w:sz w:val="22"/>
          <w:szCs w:val="22"/>
        </w:rPr>
        <w:t xml:space="preserve"> es una herramienta que va a ser pieza clave para el seguimiento de las políticas y l</w:t>
      </w:r>
      <w:r w:rsidR="00CF0302">
        <w:rPr>
          <w:rFonts w:ascii="Arial" w:hAnsi="Arial" w:cs="Arial"/>
          <w:sz w:val="22"/>
          <w:szCs w:val="22"/>
        </w:rPr>
        <w:t xml:space="preserve">a información </w:t>
      </w:r>
      <w:r w:rsidR="00F03711">
        <w:rPr>
          <w:rFonts w:ascii="Arial" w:hAnsi="Arial" w:cs="Arial"/>
          <w:sz w:val="22"/>
          <w:szCs w:val="22"/>
        </w:rPr>
        <w:t xml:space="preserve">que va a generar </w:t>
      </w:r>
      <w:r w:rsidRPr="00A810EF">
        <w:rPr>
          <w:rFonts w:ascii="Arial" w:hAnsi="Arial" w:cs="Arial"/>
          <w:sz w:val="22"/>
          <w:szCs w:val="22"/>
        </w:rPr>
        <w:t xml:space="preserve">va a poder aportar un valor </w:t>
      </w:r>
      <w:r w:rsidRPr="00A810EF">
        <w:rPr>
          <w:rFonts w:ascii="Arial" w:hAnsi="Arial" w:cs="Arial"/>
          <w:sz w:val="22"/>
          <w:szCs w:val="22"/>
        </w:rPr>
        <w:lastRenderedPageBreak/>
        <w:t>añadido muy importante para la gestión de las explotaciones. Dicho sistema ya se está poniendo en marcha en España con un objetivo de control. Se prevé que en 2022 se monitorice el 100% de la superficie declarada de España</w:t>
      </w:r>
      <w:r w:rsidR="00BC1570">
        <w:rPr>
          <w:rFonts w:ascii="Arial" w:hAnsi="Arial" w:cs="Arial"/>
          <w:sz w:val="22"/>
          <w:szCs w:val="22"/>
        </w:rPr>
        <w:t>.</w:t>
      </w:r>
    </w:p>
    <w:p w:rsidR="00A810EF" w:rsidRPr="00A810EF" w:rsidRDefault="00A810EF" w:rsidP="00CF0302">
      <w:pPr>
        <w:spacing w:before="120" w:after="120" w:line="360" w:lineRule="auto"/>
        <w:ind w:firstLine="708"/>
        <w:jc w:val="both"/>
        <w:rPr>
          <w:rFonts w:ascii="Arial" w:hAnsi="Arial" w:cs="Arial"/>
          <w:sz w:val="22"/>
          <w:szCs w:val="22"/>
        </w:rPr>
      </w:pPr>
      <w:r w:rsidRPr="00A810EF">
        <w:rPr>
          <w:rFonts w:ascii="Arial" w:hAnsi="Arial" w:cs="Arial"/>
          <w:sz w:val="22"/>
          <w:szCs w:val="22"/>
        </w:rPr>
        <w:t>Por último</w:t>
      </w:r>
      <w:r w:rsidR="00BC1570">
        <w:rPr>
          <w:rFonts w:ascii="Arial" w:hAnsi="Arial" w:cs="Arial"/>
          <w:sz w:val="22"/>
          <w:szCs w:val="22"/>
        </w:rPr>
        <w:t>,</w:t>
      </w:r>
      <w:r w:rsidRPr="00A810EF">
        <w:rPr>
          <w:rFonts w:ascii="Arial" w:hAnsi="Arial" w:cs="Arial"/>
          <w:sz w:val="22"/>
          <w:szCs w:val="22"/>
        </w:rPr>
        <w:t xml:space="preserve"> también el Sistema de Identificación de Parcelas Agrícolas (SIGPAC), que ha sido la base del sistema de declaración de las superficies que cobran ayudas de la PAC durante los últimos 15 años, debe adaptarse a las nuevas necesidades de la PAC post2020 y de las explotaciones agrarias. Específicamente se debe acometer la revisión del coeficiente de admisibilidad de pastos, basado en la explotación masiva</w:t>
      </w:r>
      <w:r w:rsidR="00CF0302">
        <w:rPr>
          <w:rFonts w:ascii="Arial" w:hAnsi="Arial" w:cs="Arial"/>
          <w:sz w:val="22"/>
          <w:szCs w:val="22"/>
        </w:rPr>
        <w:t xml:space="preserve"> de los vuelos LIDAR e imágenes </w:t>
      </w:r>
      <w:r w:rsidRPr="00A810EF">
        <w:rPr>
          <w:rFonts w:ascii="Arial" w:hAnsi="Arial" w:cs="Arial"/>
          <w:sz w:val="22"/>
          <w:szCs w:val="22"/>
        </w:rPr>
        <w:t>satélite del Plan Nacional de Observación del Territorio (PNOT). El SIGPAC sigue siendo la base para que la declaración de superficies</w:t>
      </w:r>
      <w:r w:rsidR="00BC1570">
        <w:rPr>
          <w:rFonts w:ascii="Arial" w:hAnsi="Arial" w:cs="Arial"/>
          <w:sz w:val="22"/>
          <w:szCs w:val="22"/>
        </w:rPr>
        <w:t>,</w:t>
      </w:r>
      <w:r w:rsidRPr="00A810EF">
        <w:rPr>
          <w:rFonts w:ascii="Arial" w:hAnsi="Arial" w:cs="Arial"/>
          <w:sz w:val="22"/>
          <w:szCs w:val="22"/>
        </w:rPr>
        <w:t xml:space="preserve"> actualmente y </w:t>
      </w:r>
      <w:r w:rsidR="00F03711">
        <w:rPr>
          <w:rFonts w:ascii="Arial" w:hAnsi="Arial" w:cs="Arial"/>
          <w:sz w:val="22"/>
          <w:szCs w:val="22"/>
        </w:rPr>
        <w:t xml:space="preserve">con </w:t>
      </w:r>
      <w:r w:rsidRPr="00A810EF">
        <w:rPr>
          <w:rFonts w:ascii="Arial" w:hAnsi="Arial" w:cs="Arial"/>
          <w:sz w:val="22"/>
          <w:szCs w:val="22"/>
        </w:rPr>
        <w:t>la actualización del SIEX en el futuro, se haga</w:t>
      </w:r>
      <w:bookmarkStart w:id="0" w:name="_GoBack"/>
      <w:bookmarkEnd w:id="0"/>
      <w:r w:rsidRPr="00A810EF">
        <w:rPr>
          <w:rFonts w:ascii="Arial" w:hAnsi="Arial" w:cs="Arial"/>
          <w:sz w:val="22"/>
          <w:szCs w:val="22"/>
        </w:rPr>
        <w:t xml:space="preserve"> adecuadamente.</w:t>
      </w:r>
    </w:p>
    <w:p w:rsidR="00CF0302" w:rsidRDefault="00A810EF" w:rsidP="00CF0302">
      <w:pPr>
        <w:spacing w:before="120" w:after="120" w:line="360" w:lineRule="auto"/>
        <w:ind w:firstLine="708"/>
        <w:jc w:val="both"/>
        <w:rPr>
          <w:rFonts w:ascii="Arial" w:hAnsi="Arial" w:cs="Arial"/>
          <w:sz w:val="22"/>
          <w:szCs w:val="22"/>
        </w:rPr>
      </w:pPr>
      <w:r w:rsidRPr="00A810EF">
        <w:rPr>
          <w:rFonts w:ascii="Arial" w:hAnsi="Arial" w:cs="Arial"/>
          <w:sz w:val="22"/>
          <w:szCs w:val="22"/>
        </w:rPr>
        <w:t>En definitiva, esta transformación de los mecanismos y herramientas para disponer de la información adecuada para el seguimiento de las explotaciones agrarias</w:t>
      </w:r>
      <w:r w:rsidR="006070BB">
        <w:rPr>
          <w:rFonts w:ascii="Arial" w:hAnsi="Arial" w:cs="Arial"/>
          <w:sz w:val="22"/>
          <w:szCs w:val="22"/>
        </w:rPr>
        <w:t>,</w:t>
      </w:r>
      <w:r w:rsidRPr="00A810EF">
        <w:rPr>
          <w:rFonts w:ascii="Arial" w:hAnsi="Arial" w:cs="Arial"/>
          <w:sz w:val="22"/>
          <w:szCs w:val="22"/>
        </w:rPr>
        <w:t xml:space="preserve"> conllevará un punto de inflexión fundamental en el modo en que el agricultor se relaciona con la administración. Por un lado</w:t>
      </w:r>
      <w:r w:rsidR="006070BB">
        <w:rPr>
          <w:rFonts w:ascii="Arial" w:hAnsi="Arial" w:cs="Arial"/>
          <w:sz w:val="22"/>
          <w:szCs w:val="22"/>
        </w:rPr>
        <w:t>,</w:t>
      </w:r>
      <w:r w:rsidRPr="00A810EF">
        <w:rPr>
          <w:rFonts w:ascii="Arial" w:hAnsi="Arial" w:cs="Arial"/>
          <w:sz w:val="22"/>
          <w:szCs w:val="22"/>
        </w:rPr>
        <w:t xml:space="preserve"> se avanzará en el concepto de “ventanilla única”, con un único sistema informático que le permita actualizar información de las bases de datos y registros de la administración, así como obtener toda la información de la que dispone la administración respecto a su explotación. Por otro lado</w:t>
      </w:r>
      <w:r w:rsidR="002725C3">
        <w:rPr>
          <w:rFonts w:ascii="Arial" w:hAnsi="Arial" w:cs="Arial"/>
          <w:sz w:val="22"/>
          <w:szCs w:val="22"/>
        </w:rPr>
        <w:t>,</w:t>
      </w:r>
      <w:r w:rsidRPr="00A810EF">
        <w:rPr>
          <w:rFonts w:ascii="Arial" w:hAnsi="Arial" w:cs="Arial"/>
          <w:sz w:val="22"/>
          <w:szCs w:val="22"/>
        </w:rPr>
        <w:t xml:space="preserve"> se simplificará y se disminuirá la carga administrativa relativa a dicha explotación</w:t>
      </w:r>
      <w:r w:rsidR="002725C3">
        <w:rPr>
          <w:rFonts w:ascii="Arial" w:hAnsi="Arial" w:cs="Arial"/>
          <w:sz w:val="22"/>
          <w:szCs w:val="22"/>
        </w:rPr>
        <w:t>,</w:t>
      </w:r>
      <w:r w:rsidRPr="00A810EF">
        <w:rPr>
          <w:rFonts w:ascii="Arial" w:hAnsi="Arial" w:cs="Arial"/>
          <w:sz w:val="22"/>
          <w:szCs w:val="22"/>
        </w:rPr>
        <w:t xml:space="preserve"> especialmente en lo que se refiere a la gestión de las ayudas de la PAC, asegurando los fondos y minimizando</w:t>
      </w:r>
      <w:r w:rsidR="002725C3">
        <w:rPr>
          <w:rFonts w:ascii="Arial" w:hAnsi="Arial" w:cs="Arial"/>
          <w:sz w:val="22"/>
          <w:szCs w:val="22"/>
        </w:rPr>
        <w:t>,</w:t>
      </w:r>
      <w:r w:rsidRPr="00A810EF">
        <w:rPr>
          <w:rFonts w:ascii="Arial" w:hAnsi="Arial" w:cs="Arial"/>
          <w:sz w:val="22"/>
          <w:szCs w:val="22"/>
        </w:rPr>
        <w:t xml:space="preserve"> tanto el riesgo de sanciones para el agricultor</w:t>
      </w:r>
      <w:r w:rsidR="002725C3">
        <w:rPr>
          <w:rFonts w:ascii="Arial" w:hAnsi="Arial" w:cs="Arial"/>
          <w:sz w:val="22"/>
          <w:szCs w:val="22"/>
        </w:rPr>
        <w:t>,</w:t>
      </w:r>
      <w:r w:rsidRPr="00A810EF">
        <w:rPr>
          <w:rFonts w:ascii="Arial" w:hAnsi="Arial" w:cs="Arial"/>
          <w:sz w:val="22"/>
          <w:szCs w:val="22"/>
        </w:rPr>
        <w:t xml:space="preserve"> como de correcciones financieras para las administraciones. Y finalmente se impulsará la digitalización del sistema agrario español a través de herramientas integradas en el sistema</w:t>
      </w:r>
      <w:r w:rsidR="002725C3">
        <w:rPr>
          <w:rFonts w:ascii="Arial" w:hAnsi="Arial" w:cs="Arial"/>
          <w:sz w:val="22"/>
          <w:szCs w:val="22"/>
        </w:rPr>
        <w:t>,</w:t>
      </w:r>
      <w:r w:rsidRPr="00A810EF">
        <w:rPr>
          <w:rFonts w:ascii="Arial" w:hAnsi="Arial" w:cs="Arial"/>
          <w:sz w:val="22"/>
          <w:szCs w:val="22"/>
        </w:rPr>
        <w:t xml:space="preserve"> que orientar</w:t>
      </w:r>
      <w:r w:rsidR="002725C3">
        <w:rPr>
          <w:rFonts w:ascii="Arial" w:hAnsi="Arial" w:cs="Arial"/>
          <w:sz w:val="22"/>
          <w:szCs w:val="22"/>
        </w:rPr>
        <w:t>á</w:t>
      </w:r>
      <w:r w:rsidRPr="00A810EF">
        <w:rPr>
          <w:rFonts w:ascii="Arial" w:hAnsi="Arial" w:cs="Arial"/>
          <w:sz w:val="22"/>
          <w:szCs w:val="22"/>
        </w:rPr>
        <w:t>n al agricultor para producir alimentos de una forma sostenible y eficiente, minimizando el impacto sobre el medio ambiente y el cambio climático. A todo lo anterior hay que sumar la mejora del conocimiento del sector agrario español y un mejor seguimiento de su evolución, permitiendo un mejor diseño de las políticas orientadas al mismo.</w:t>
      </w:r>
    </w:p>
    <w:p w:rsidR="00A80B4B" w:rsidRDefault="00517824" w:rsidP="00CF0302">
      <w:pPr>
        <w:spacing w:before="120" w:after="120" w:line="360" w:lineRule="auto"/>
        <w:rPr>
          <w:rFonts w:ascii="Arial" w:hAnsi="Arial" w:cs="Arial"/>
          <w:b/>
          <w:sz w:val="22"/>
          <w:szCs w:val="22"/>
        </w:rPr>
      </w:pPr>
      <w:r w:rsidRPr="00517824">
        <w:rPr>
          <w:rFonts w:ascii="Arial" w:hAnsi="Arial" w:cs="Arial"/>
          <w:b/>
          <w:sz w:val="22"/>
          <w:szCs w:val="22"/>
        </w:rPr>
        <w:t xml:space="preserve">5. </w:t>
      </w:r>
      <w:r w:rsidR="00A80B4B" w:rsidRPr="00517824">
        <w:rPr>
          <w:rFonts w:ascii="Arial" w:hAnsi="Arial" w:cs="Arial"/>
          <w:b/>
          <w:sz w:val="22"/>
          <w:szCs w:val="22"/>
        </w:rPr>
        <w:t>COSTE DE LA INVERSIÓN Y DISTRIBUCIÓN ANUALIZADA</w:t>
      </w:r>
    </w:p>
    <w:p w:rsidR="00CF0302" w:rsidRPr="00CF0302" w:rsidRDefault="00CF0302" w:rsidP="00CF0302">
      <w:pPr>
        <w:spacing w:before="120"/>
        <w:jc w:val="right"/>
        <w:rPr>
          <w:rFonts w:ascii="Arial" w:hAnsi="Arial" w:cs="Arial"/>
          <w:sz w:val="18"/>
          <w:szCs w:val="18"/>
        </w:rPr>
      </w:pPr>
      <w:r w:rsidRPr="00CF0302">
        <w:rPr>
          <w:rFonts w:ascii="Arial" w:hAnsi="Arial" w:cs="Arial"/>
          <w:sz w:val="18"/>
          <w:szCs w:val="18"/>
        </w:rPr>
        <w:t>(Miles de euros)</w:t>
      </w:r>
    </w:p>
    <w:tbl>
      <w:tblPr>
        <w:tblStyle w:val="Tablaconcuadrcula"/>
        <w:tblW w:w="8675"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Caption w:val="Tabla Coste de la inversión y distribución anualizada"/>
        <w:tblDescription w:val="Periodificación por años, Coste del mecanismo, Otra financiación y Totales"/>
      </w:tblPr>
      <w:tblGrid>
        <w:gridCol w:w="2043"/>
        <w:gridCol w:w="829"/>
        <w:gridCol w:w="829"/>
        <w:gridCol w:w="829"/>
        <w:gridCol w:w="829"/>
        <w:gridCol w:w="829"/>
        <w:gridCol w:w="829"/>
        <w:gridCol w:w="829"/>
        <w:gridCol w:w="829"/>
      </w:tblGrid>
      <w:tr w:rsidR="00CF0302" w:rsidTr="00CF0302">
        <w:trPr>
          <w:trHeight w:val="337"/>
          <w:tblHeader/>
          <w:jc w:val="center"/>
        </w:trPr>
        <w:tc>
          <w:tcPr>
            <w:tcW w:w="2043" w:type="dxa"/>
            <w:vAlign w:val="center"/>
            <w:hideMark/>
          </w:tcPr>
          <w:p w:rsidR="00CF0302" w:rsidRDefault="00CF0302" w:rsidP="00177F9C">
            <w:pPr>
              <w:spacing w:before="120" w:after="120"/>
              <w:ind w:left="31"/>
              <w:rPr>
                <w:rFonts w:ascii="Arial" w:hAnsi="Arial" w:cs="Arial"/>
                <w:b/>
                <w:sz w:val="18"/>
                <w:szCs w:val="18"/>
              </w:rPr>
            </w:pPr>
            <w:r>
              <w:rPr>
                <w:rFonts w:ascii="Arial" w:hAnsi="Arial" w:cs="Arial"/>
                <w:b/>
                <w:sz w:val="18"/>
                <w:szCs w:val="18"/>
              </w:rPr>
              <w:t>PERIODIFICACIÓN</w:t>
            </w:r>
          </w:p>
        </w:tc>
        <w:tc>
          <w:tcPr>
            <w:tcW w:w="829" w:type="dxa"/>
            <w:vAlign w:val="center"/>
            <w:hideMark/>
          </w:tcPr>
          <w:p w:rsidR="00CF0302" w:rsidRDefault="00CF0302" w:rsidP="00177F9C">
            <w:pPr>
              <w:spacing w:before="120" w:after="120"/>
              <w:ind w:left="-83"/>
              <w:jc w:val="center"/>
              <w:rPr>
                <w:rFonts w:ascii="Arial" w:hAnsi="Arial" w:cs="Arial"/>
                <w:b/>
                <w:sz w:val="18"/>
                <w:szCs w:val="18"/>
              </w:rPr>
            </w:pPr>
            <w:r>
              <w:rPr>
                <w:rFonts w:ascii="Arial" w:hAnsi="Arial" w:cs="Arial"/>
                <w:b/>
                <w:sz w:val="18"/>
                <w:szCs w:val="18"/>
              </w:rPr>
              <w:t>2020</w:t>
            </w:r>
          </w:p>
        </w:tc>
        <w:tc>
          <w:tcPr>
            <w:tcW w:w="829" w:type="dxa"/>
            <w:vAlign w:val="center"/>
            <w:hideMark/>
          </w:tcPr>
          <w:p w:rsidR="00CF0302" w:rsidRDefault="00CF0302" w:rsidP="00177F9C">
            <w:pPr>
              <w:spacing w:before="120" w:after="120"/>
              <w:ind w:left="-83"/>
              <w:jc w:val="center"/>
              <w:rPr>
                <w:rFonts w:ascii="Arial" w:hAnsi="Arial" w:cs="Arial"/>
                <w:b/>
                <w:sz w:val="18"/>
                <w:szCs w:val="18"/>
              </w:rPr>
            </w:pPr>
            <w:r>
              <w:rPr>
                <w:rFonts w:ascii="Arial" w:hAnsi="Arial" w:cs="Arial"/>
                <w:b/>
                <w:sz w:val="18"/>
                <w:szCs w:val="18"/>
              </w:rPr>
              <w:t>2021</w:t>
            </w:r>
          </w:p>
        </w:tc>
        <w:tc>
          <w:tcPr>
            <w:tcW w:w="829" w:type="dxa"/>
            <w:vAlign w:val="center"/>
            <w:hideMark/>
          </w:tcPr>
          <w:p w:rsidR="00CF0302" w:rsidRDefault="00CF0302" w:rsidP="00177F9C">
            <w:pPr>
              <w:spacing w:before="120" w:after="120"/>
              <w:ind w:left="-83"/>
              <w:jc w:val="center"/>
              <w:rPr>
                <w:rFonts w:ascii="Arial" w:hAnsi="Arial" w:cs="Arial"/>
                <w:b/>
                <w:sz w:val="18"/>
                <w:szCs w:val="18"/>
              </w:rPr>
            </w:pPr>
            <w:r>
              <w:rPr>
                <w:rFonts w:ascii="Arial" w:hAnsi="Arial" w:cs="Arial"/>
                <w:b/>
                <w:sz w:val="18"/>
                <w:szCs w:val="18"/>
              </w:rPr>
              <w:t>2022</w:t>
            </w:r>
          </w:p>
        </w:tc>
        <w:tc>
          <w:tcPr>
            <w:tcW w:w="829" w:type="dxa"/>
            <w:vAlign w:val="center"/>
            <w:hideMark/>
          </w:tcPr>
          <w:p w:rsidR="00CF0302" w:rsidRDefault="00CF0302" w:rsidP="00177F9C">
            <w:pPr>
              <w:spacing w:before="120" w:after="120"/>
              <w:ind w:left="-83"/>
              <w:jc w:val="center"/>
              <w:rPr>
                <w:rFonts w:ascii="Arial" w:hAnsi="Arial" w:cs="Arial"/>
                <w:b/>
                <w:sz w:val="18"/>
                <w:szCs w:val="18"/>
              </w:rPr>
            </w:pPr>
            <w:r>
              <w:rPr>
                <w:rFonts w:ascii="Arial" w:hAnsi="Arial" w:cs="Arial"/>
                <w:b/>
                <w:sz w:val="18"/>
                <w:szCs w:val="18"/>
              </w:rPr>
              <w:t>2023</w:t>
            </w:r>
          </w:p>
        </w:tc>
        <w:tc>
          <w:tcPr>
            <w:tcW w:w="829" w:type="dxa"/>
            <w:vAlign w:val="center"/>
            <w:hideMark/>
          </w:tcPr>
          <w:p w:rsidR="00CF0302" w:rsidRDefault="00CF0302" w:rsidP="00177F9C">
            <w:pPr>
              <w:spacing w:before="120" w:after="120"/>
              <w:ind w:left="-83"/>
              <w:jc w:val="center"/>
              <w:rPr>
                <w:rFonts w:ascii="Arial" w:hAnsi="Arial" w:cs="Arial"/>
                <w:b/>
                <w:sz w:val="18"/>
                <w:szCs w:val="18"/>
              </w:rPr>
            </w:pPr>
            <w:r>
              <w:rPr>
                <w:rFonts w:ascii="Arial" w:hAnsi="Arial" w:cs="Arial"/>
                <w:b/>
                <w:sz w:val="18"/>
                <w:szCs w:val="18"/>
              </w:rPr>
              <w:t>2024</w:t>
            </w:r>
          </w:p>
        </w:tc>
        <w:tc>
          <w:tcPr>
            <w:tcW w:w="829" w:type="dxa"/>
            <w:vAlign w:val="center"/>
            <w:hideMark/>
          </w:tcPr>
          <w:p w:rsidR="00CF0302" w:rsidRDefault="00CF0302" w:rsidP="00177F9C">
            <w:pPr>
              <w:spacing w:before="120" w:after="120"/>
              <w:ind w:left="-83"/>
              <w:jc w:val="center"/>
              <w:rPr>
                <w:rFonts w:ascii="Arial" w:hAnsi="Arial" w:cs="Arial"/>
                <w:b/>
                <w:sz w:val="18"/>
                <w:szCs w:val="18"/>
              </w:rPr>
            </w:pPr>
            <w:r>
              <w:rPr>
                <w:rFonts w:ascii="Arial" w:hAnsi="Arial" w:cs="Arial"/>
                <w:b/>
                <w:sz w:val="18"/>
                <w:szCs w:val="18"/>
              </w:rPr>
              <w:t>2025</w:t>
            </w:r>
          </w:p>
        </w:tc>
        <w:tc>
          <w:tcPr>
            <w:tcW w:w="829" w:type="dxa"/>
            <w:vAlign w:val="center"/>
            <w:hideMark/>
          </w:tcPr>
          <w:p w:rsidR="00CF0302" w:rsidRDefault="00CF0302" w:rsidP="00177F9C">
            <w:pPr>
              <w:spacing w:before="120" w:after="120"/>
              <w:ind w:left="-83"/>
              <w:jc w:val="center"/>
              <w:rPr>
                <w:rFonts w:ascii="Arial" w:hAnsi="Arial" w:cs="Arial"/>
                <w:b/>
                <w:sz w:val="18"/>
                <w:szCs w:val="18"/>
              </w:rPr>
            </w:pPr>
            <w:r>
              <w:rPr>
                <w:rFonts w:ascii="Arial" w:hAnsi="Arial" w:cs="Arial"/>
                <w:b/>
                <w:sz w:val="18"/>
                <w:szCs w:val="18"/>
              </w:rPr>
              <w:t>2026</w:t>
            </w:r>
          </w:p>
        </w:tc>
        <w:tc>
          <w:tcPr>
            <w:tcW w:w="829" w:type="dxa"/>
            <w:vAlign w:val="center"/>
            <w:hideMark/>
          </w:tcPr>
          <w:p w:rsidR="00CF0302" w:rsidRDefault="00CF0302" w:rsidP="00177F9C">
            <w:pPr>
              <w:spacing w:before="120" w:after="120"/>
              <w:ind w:left="-83"/>
              <w:jc w:val="center"/>
              <w:rPr>
                <w:rFonts w:ascii="Arial" w:hAnsi="Arial" w:cs="Arial"/>
                <w:b/>
                <w:sz w:val="18"/>
                <w:szCs w:val="18"/>
              </w:rPr>
            </w:pPr>
            <w:r>
              <w:rPr>
                <w:rFonts w:ascii="Arial" w:hAnsi="Arial" w:cs="Arial"/>
                <w:b/>
                <w:sz w:val="18"/>
                <w:szCs w:val="18"/>
              </w:rPr>
              <w:t>Total</w:t>
            </w:r>
          </w:p>
        </w:tc>
      </w:tr>
      <w:tr w:rsidR="00CF0302" w:rsidTr="00CF0302">
        <w:trPr>
          <w:trHeight w:hRule="exact" w:val="342"/>
          <w:jc w:val="center"/>
        </w:trPr>
        <w:tc>
          <w:tcPr>
            <w:tcW w:w="2043" w:type="dxa"/>
            <w:vAlign w:val="center"/>
            <w:hideMark/>
          </w:tcPr>
          <w:p w:rsidR="00CF0302" w:rsidRDefault="00CF0302" w:rsidP="00177F9C">
            <w:pPr>
              <w:spacing w:before="60" w:after="60"/>
              <w:ind w:left="31"/>
              <w:rPr>
                <w:rFonts w:ascii="Arial" w:hAnsi="Arial" w:cs="Arial"/>
                <w:sz w:val="18"/>
                <w:szCs w:val="18"/>
              </w:rPr>
            </w:pPr>
            <w:r>
              <w:rPr>
                <w:rFonts w:ascii="Arial" w:hAnsi="Arial" w:cs="Arial"/>
                <w:sz w:val="18"/>
                <w:szCs w:val="18"/>
              </w:rPr>
              <w:t>Coste del Mecanismo</w:t>
            </w:r>
          </w:p>
        </w:tc>
        <w:tc>
          <w:tcPr>
            <w:tcW w:w="829" w:type="dxa"/>
            <w:vAlign w:val="center"/>
          </w:tcPr>
          <w:p w:rsidR="00CF0302" w:rsidRDefault="00CF0302" w:rsidP="00177F9C">
            <w:pPr>
              <w:spacing w:before="60" w:after="60"/>
              <w:ind w:left="-83"/>
              <w:jc w:val="right"/>
              <w:rPr>
                <w:rFonts w:ascii="Arial" w:hAnsi="Arial" w:cs="Arial"/>
                <w:sz w:val="12"/>
                <w:szCs w:val="12"/>
              </w:rPr>
            </w:pPr>
          </w:p>
        </w:tc>
        <w:tc>
          <w:tcPr>
            <w:tcW w:w="829" w:type="dxa"/>
            <w:vAlign w:val="center"/>
          </w:tcPr>
          <w:p w:rsidR="00CF0302" w:rsidRDefault="00CF0302" w:rsidP="00177F9C">
            <w:pPr>
              <w:spacing w:before="60" w:after="60"/>
              <w:ind w:left="-83"/>
              <w:jc w:val="right"/>
              <w:rPr>
                <w:rFonts w:ascii="Arial" w:hAnsi="Arial" w:cs="Arial"/>
                <w:noProof/>
                <w:sz w:val="12"/>
                <w:szCs w:val="12"/>
              </w:rPr>
            </w:pPr>
          </w:p>
        </w:tc>
        <w:tc>
          <w:tcPr>
            <w:tcW w:w="829" w:type="dxa"/>
            <w:vAlign w:val="center"/>
          </w:tcPr>
          <w:p w:rsidR="00CF0302" w:rsidRDefault="00CF0302" w:rsidP="00177F9C">
            <w:pPr>
              <w:spacing w:before="60" w:after="60"/>
              <w:ind w:left="-83"/>
              <w:jc w:val="right"/>
              <w:rPr>
                <w:rFonts w:ascii="Arial" w:hAnsi="Arial" w:cs="Arial"/>
                <w:noProof/>
                <w:sz w:val="18"/>
                <w:szCs w:val="18"/>
              </w:rPr>
            </w:pPr>
            <w:r w:rsidRPr="00B65E2B">
              <w:rPr>
                <w:rFonts w:ascii="Arial" w:hAnsi="Arial" w:cs="Arial"/>
                <w:noProof/>
                <w:sz w:val="18"/>
                <w:szCs w:val="18"/>
              </w:rPr>
              <w:t>10.000</w:t>
            </w:r>
          </w:p>
        </w:tc>
        <w:tc>
          <w:tcPr>
            <w:tcW w:w="829" w:type="dxa"/>
            <w:vAlign w:val="center"/>
          </w:tcPr>
          <w:p w:rsidR="00CF0302" w:rsidRDefault="00CF0302" w:rsidP="00177F9C">
            <w:pPr>
              <w:spacing w:before="60" w:after="60"/>
              <w:ind w:left="-83"/>
              <w:jc w:val="right"/>
              <w:rPr>
                <w:rFonts w:ascii="Arial" w:hAnsi="Arial" w:cs="Arial"/>
                <w:noProof/>
                <w:sz w:val="12"/>
                <w:szCs w:val="12"/>
              </w:rPr>
            </w:pPr>
            <w:r w:rsidRPr="00B65E2B">
              <w:rPr>
                <w:rFonts w:ascii="Arial" w:hAnsi="Arial" w:cs="Arial"/>
                <w:noProof/>
                <w:sz w:val="18"/>
                <w:szCs w:val="18"/>
              </w:rPr>
              <w:t>10.000</w:t>
            </w:r>
          </w:p>
        </w:tc>
        <w:tc>
          <w:tcPr>
            <w:tcW w:w="829" w:type="dxa"/>
            <w:vAlign w:val="center"/>
          </w:tcPr>
          <w:p w:rsidR="00CF0302" w:rsidRDefault="00CF0302" w:rsidP="00177F9C">
            <w:pPr>
              <w:spacing w:before="60" w:after="60"/>
              <w:ind w:left="-83"/>
              <w:jc w:val="right"/>
              <w:rPr>
                <w:rFonts w:ascii="Arial" w:hAnsi="Arial" w:cs="Arial"/>
                <w:noProof/>
                <w:sz w:val="12"/>
                <w:szCs w:val="12"/>
              </w:rPr>
            </w:pPr>
          </w:p>
        </w:tc>
        <w:tc>
          <w:tcPr>
            <w:tcW w:w="829" w:type="dxa"/>
            <w:vAlign w:val="center"/>
          </w:tcPr>
          <w:p w:rsidR="00CF0302" w:rsidRDefault="00CF0302" w:rsidP="00177F9C">
            <w:pPr>
              <w:spacing w:before="60" w:after="60"/>
              <w:ind w:left="-83"/>
              <w:jc w:val="right"/>
              <w:rPr>
                <w:rFonts w:ascii="Arial" w:hAnsi="Arial" w:cs="Arial"/>
                <w:noProof/>
                <w:sz w:val="12"/>
                <w:szCs w:val="12"/>
              </w:rPr>
            </w:pPr>
          </w:p>
        </w:tc>
        <w:tc>
          <w:tcPr>
            <w:tcW w:w="829" w:type="dxa"/>
            <w:vAlign w:val="center"/>
          </w:tcPr>
          <w:p w:rsidR="00CF0302" w:rsidRDefault="00CF0302" w:rsidP="00177F9C">
            <w:pPr>
              <w:spacing w:before="60" w:after="60"/>
              <w:ind w:left="-83"/>
              <w:jc w:val="right"/>
              <w:rPr>
                <w:rFonts w:ascii="Arial" w:hAnsi="Arial" w:cs="Arial"/>
                <w:noProof/>
                <w:sz w:val="12"/>
                <w:szCs w:val="12"/>
              </w:rPr>
            </w:pPr>
          </w:p>
        </w:tc>
        <w:tc>
          <w:tcPr>
            <w:tcW w:w="829" w:type="dxa"/>
            <w:vAlign w:val="center"/>
          </w:tcPr>
          <w:p w:rsidR="00CF0302" w:rsidRDefault="00CF0302" w:rsidP="00177F9C">
            <w:pPr>
              <w:spacing w:before="60" w:after="60"/>
              <w:ind w:left="-83"/>
              <w:jc w:val="right"/>
              <w:rPr>
                <w:rFonts w:ascii="Arial" w:hAnsi="Arial" w:cs="Arial"/>
                <w:noProof/>
                <w:sz w:val="18"/>
                <w:szCs w:val="18"/>
              </w:rPr>
            </w:pPr>
            <w:r w:rsidRPr="00B65E2B">
              <w:rPr>
                <w:rFonts w:ascii="Arial" w:hAnsi="Arial" w:cs="Arial"/>
                <w:noProof/>
                <w:sz w:val="18"/>
                <w:szCs w:val="18"/>
              </w:rPr>
              <w:t>20.000</w:t>
            </w:r>
          </w:p>
        </w:tc>
      </w:tr>
      <w:tr w:rsidR="00CF0302" w:rsidTr="00CF0302">
        <w:trPr>
          <w:trHeight w:hRule="exact" w:val="340"/>
          <w:jc w:val="center"/>
        </w:trPr>
        <w:tc>
          <w:tcPr>
            <w:tcW w:w="2043" w:type="dxa"/>
            <w:vAlign w:val="center"/>
            <w:hideMark/>
          </w:tcPr>
          <w:p w:rsidR="00CF0302" w:rsidRDefault="00CF0302" w:rsidP="00177F9C">
            <w:pPr>
              <w:spacing w:before="60" w:after="60"/>
              <w:ind w:left="31"/>
              <w:rPr>
                <w:rFonts w:ascii="Arial" w:hAnsi="Arial" w:cs="Arial"/>
                <w:sz w:val="18"/>
                <w:szCs w:val="18"/>
              </w:rPr>
            </w:pPr>
            <w:r>
              <w:rPr>
                <w:rFonts w:ascii="Arial" w:hAnsi="Arial" w:cs="Arial"/>
                <w:sz w:val="18"/>
                <w:szCs w:val="18"/>
              </w:rPr>
              <w:t>Otra financiación</w:t>
            </w:r>
          </w:p>
        </w:tc>
        <w:tc>
          <w:tcPr>
            <w:tcW w:w="829" w:type="dxa"/>
            <w:vAlign w:val="center"/>
          </w:tcPr>
          <w:p w:rsidR="00CF0302" w:rsidRDefault="00CF0302" w:rsidP="00177F9C">
            <w:pPr>
              <w:spacing w:before="60" w:after="60"/>
              <w:ind w:left="-83"/>
              <w:jc w:val="right"/>
              <w:rPr>
                <w:rFonts w:ascii="Arial" w:hAnsi="Arial" w:cs="Arial"/>
                <w:noProof/>
                <w:sz w:val="12"/>
                <w:szCs w:val="12"/>
              </w:rPr>
            </w:pPr>
          </w:p>
        </w:tc>
        <w:tc>
          <w:tcPr>
            <w:tcW w:w="829" w:type="dxa"/>
            <w:vAlign w:val="center"/>
          </w:tcPr>
          <w:p w:rsidR="00CF0302" w:rsidRDefault="00CF0302" w:rsidP="00177F9C">
            <w:pPr>
              <w:spacing w:before="60" w:after="60"/>
              <w:ind w:left="-83"/>
              <w:jc w:val="right"/>
              <w:rPr>
                <w:rFonts w:ascii="Arial" w:hAnsi="Arial" w:cs="Arial"/>
                <w:noProof/>
                <w:sz w:val="12"/>
                <w:szCs w:val="12"/>
              </w:rPr>
            </w:pPr>
          </w:p>
        </w:tc>
        <w:tc>
          <w:tcPr>
            <w:tcW w:w="829" w:type="dxa"/>
            <w:vAlign w:val="center"/>
          </w:tcPr>
          <w:p w:rsidR="00CF0302" w:rsidRDefault="00CF0302" w:rsidP="00CF0302">
            <w:pPr>
              <w:jc w:val="right"/>
              <w:rPr>
                <w:rFonts w:ascii="Arial" w:hAnsi="Arial" w:cs="Arial"/>
                <w:noProof/>
                <w:sz w:val="12"/>
                <w:szCs w:val="12"/>
              </w:rPr>
            </w:pPr>
            <w:r w:rsidRPr="00B65E2B">
              <w:rPr>
                <w:rFonts w:ascii="Arial" w:hAnsi="Arial" w:cs="Arial"/>
                <w:noProof/>
                <w:sz w:val="18"/>
                <w:szCs w:val="18"/>
              </w:rPr>
              <w:t>2.403</w:t>
            </w:r>
          </w:p>
        </w:tc>
        <w:tc>
          <w:tcPr>
            <w:tcW w:w="829" w:type="dxa"/>
            <w:vAlign w:val="center"/>
          </w:tcPr>
          <w:p w:rsidR="00CF0302" w:rsidRDefault="00CF0302" w:rsidP="00177F9C">
            <w:pPr>
              <w:spacing w:before="60" w:after="60"/>
              <w:ind w:left="-83"/>
              <w:jc w:val="right"/>
              <w:rPr>
                <w:rFonts w:ascii="Arial" w:hAnsi="Arial" w:cs="Arial"/>
                <w:noProof/>
                <w:sz w:val="12"/>
                <w:szCs w:val="12"/>
              </w:rPr>
            </w:pPr>
            <w:r w:rsidRPr="00B65E2B">
              <w:rPr>
                <w:rFonts w:ascii="Arial" w:hAnsi="Arial" w:cs="Arial"/>
                <w:noProof/>
                <w:sz w:val="18"/>
                <w:szCs w:val="18"/>
              </w:rPr>
              <w:t>2.328</w:t>
            </w:r>
          </w:p>
        </w:tc>
        <w:tc>
          <w:tcPr>
            <w:tcW w:w="829" w:type="dxa"/>
            <w:vAlign w:val="center"/>
          </w:tcPr>
          <w:p w:rsidR="00CF0302" w:rsidRDefault="00CF0302" w:rsidP="00177F9C">
            <w:pPr>
              <w:spacing w:before="60" w:after="60"/>
              <w:ind w:left="-83"/>
              <w:jc w:val="right"/>
              <w:rPr>
                <w:rFonts w:ascii="Arial" w:hAnsi="Arial" w:cs="Arial"/>
                <w:noProof/>
                <w:sz w:val="12"/>
                <w:szCs w:val="12"/>
              </w:rPr>
            </w:pPr>
          </w:p>
        </w:tc>
        <w:tc>
          <w:tcPr>
            <w:tcW w:w="829" w:type="dxa"/>
            <w:vAlign w:val="center"/>
          </w:tcPr>
          <w:p w:rsidR="00CF0302" w:rsidRDefault="00CF0302" w:rsidP="00177F9C">
            <w:pPr>
              <w:spacing w:before="60" w:after="60"/>
              <w:ind w:left="-83"/>
              <w:jc w:val="right"/>
              <w:rPr>
                <w:rFonts w:ascii="Arial" w:hAnsi="Arial" w:cs="Arial"/>
                <w:noProof/>
                <w:sz w:val="12"/>
                <w:szCs w:val="12"/>
              </w:rPr>
            </w:pPr>
          </w:p>
        </w:tc>
        <w:tc>
          <w:tcPr>
            <w:tcW w:w="829" w:type="dxa"/>
            <w:vAlign w:val="center"/>
          </w:tcPr>
          <w:p w:rsidR="00CF0302" w:rsidRDefault="00CF0302" w:rsidP="00177F9C">
            <w:pPr>
              <w:spacing w:before="60" w:after="60"/>
              <w:ind w:left="-83"/>
              <w:jc w:val="right"/>
              <w:rPr>
                <w:rFonts w:ascii="Arial" w:hAnsi="Arial" w:cs="Arial"/>
                <w:noProof/>
                <w:sz w:val="12"/>
                <w:szCs w:val="12"/>
              </w:rPr>
            </w:pPr>
          </w:p>
        </w:tc>
        <w:tc>
          <w:tcPr>
            <w:tcW w:w="829" w:type="dxa"/>
            <w:vAlign w:val="center"/>
          </w:tcPr>
          <w:p w:rsidR="00CF0302" w:rsidRDefault="00CF0302" w:rsidP="00177F9C">
            <w:pPr>
              <w:spacing w:before="60" w:after="60"/>
              <w:ind w:left="-83"/>
              <w:jc w:val="right"/>
              <w:rPr>
                <w:rFonts w:ascii="Arial" w:hAnsi="Arial" w:cs="Arial"/>
                <w:noProof/>
                <w:sz w:val="12"/>
                <w:szCs w:val="12"/>
              </w:rPr>
            </w:pPr>
            <w:r w:rsidRPr="00B65E2B">
              <w:rPr>
                <w:rFonts w:ascii="Arial" w:hAnsi="Arial" w:cs="Arial"/>
                <w:noProof/>
                <w:sz w:val="18"/>
                <w:szCs w:val="18"/>
              </w:rPr>
              <w:t>4.731</w:t>
            </w:r>
          </w:p>
        </w:tc>
      </w:tr>
      <w:tr w:rsidR="00CF0302" w:rsidTr="00CF0302">
        <w:trPr>
          <w:trHeight w:hRule="exact" w:val="340"/>
          <w:jc w:val="center"/>
        </w:trPr>
        <w:tc>
          <w:tcPr>
            <w:tcW w:w="2043" w:type="dxa"/>
            <w:vAlign w:val="center"/>
            <w:hideMark/>
          </w:tcPr>
          <w:p w:rsidR="00CF0302" w:rsidRDefault="00CF0302" w:rsidP="00177F9C">
            <w:pPr>
              <w:spacing w:before="60" w:after="60"/>
              <w:ind w:left="31"/>
              <w:rPr>
                <w:rFonts w:ascii="Arial" w:hAnsi="Arial" w:cs="Arial"/>
                <w:b/>
                <w:sz w:val="18"/>
                <w:szCs w:val="18"/>
              </w:rPr>
            </w:pPr>
            <w:r>
              <w:rPr>
                <w:rFonts w:ascii="Arial" w:hAnsi="Arial" w:cs="Arial"/>
                <w:b/>
                <w:sz w:val="18"/>
                <w:szCs w:val="18"/>
              </w:rPr>
              <w:t>Total</w:t>
            </w:r>
          </w:p>
        </w:tc>
        <w:tc>
          <w:tcPr>
            <w:tcW w:w="829" w:type="dxa"/>
            <w:vAlign w:val="center"/>
          </w:tcPr>
          <w:p w:rsidR="00CF0302" w:rsidRDefault="00CF0302" w:rsidP="00177F9C">
            <w:pPr>
              <w:spacing w:before="60" w:after="60"/>
              <w:ind w:left="-83"/>
              <w:jc w:val="right"/>
              <w:rPr>
                <w:rFonts w:ascii="Arial" w:hAnsi="Arial" w:cs="Arial"/>
                <w:noProof/>
                <w:sz w:val="12"/>
                <w:szCs w:val="12"/>
              </w:rPr>
            </w:pPr>
          </w:p>
        </w:tc>
        <w:tc>
          <w:tcPr>
            <w:tcW w:w="829" w:type="dxa"/>
            <w:vAlign w:val="center"/>
          </w:tcPr>
          <w:p w:rsidR="00CF0302" w:rsidRDefault="00CF0302" w:rsidP="00177F9C">
            <w:pPr>
              <w:spacing w:before="60" w:after="60"/>
              <w:ind w:left="-83"/>
              <w:jc w:val="right"/>
              <w:rPr>
                <w:rFonts w:ascii="Arial" w:hAnsi="Arial" w:cs="Arial"/>
                <w:noProof/>
                <w:sz w:val="12"/>
                <w:szCs w:val="12"/>
              </w:rPr>
            </w:pPr>
          </w:p>
        </w:tc>
        <w:tc>
          <w:tcPr>
            <w:tcW w:w="829" w:type="dxa"/>
            <w:vAlign w:val="center"/>
          </w:tcPr>
          <w:p w:rsidR="00CF0302" w:rsidRDefault="00CF0302" w:rsidP="00177F9C">
            <w:pPr>
              <w:spacing w:before="60" w:after="60"/>
              <w:ind w:left="-83"/>
              <w:jc w:val="right"/>
              <w:rPr>
                <w:rFonts w:ascii="Arial" w:hAnsi="Arial" w:cs="Arial"/>
                <w:noProof/>
                <w:sz w:val="12"/>
                <w:szCs w:val="12"/>
              </w:rPr>
            </w:pPr>
            <w:r w:rsidRPr="00B65E2B">
              <w:rPr>
                <w:rFonts w:ascii="Arial" w:hAnsi="Arial" w:cs="Arial"/>
                <w:noProof/>
                <w:sz w:val="18"/>
                <w:szCs w:val="18"/>
              </w:rPr>
              <w:t>12.403</w:t>
            </w:r>
          </w:p>
        </w:tc>
        <w:tc>
          <w:tcPr>
            <w:tcW w:w="829" w:type="dxa"/>
            <w:vAlign w:val="center"/>
          </w:tcPr>
          <w:p w:rsidR="00CF0302" w:rsidRDefault="00CF0302" w:rsidP="00177F9C">
            <w:pPr>
              <w:spacing w:before="60" w:after="60"/>
              <w:ind w:left="-83"/>
              <w:jc w:val="right"/>
              <w:rPr>
                <w:rFonts w:ascii="Arial" w:hAnsi="Arial" w:cs="Arial"/>
                <w:noProof/>
                <w:sz w:val="12"/>
                <w:szCs w:val="12"/>
              </w:rPr>
            </w:pPr>
            <w:r w:rsidRPr="00B65E2B">
              <w:rPr>
                <w:rFonts w:ascii="Arial" w:hAnsi="Arial" w:cs="Arial"/>
                <w:noProof/>
                <w:sz w:val="18"/>
                <w:szCs w:val="18"/>
              </w:rPr>
              <w:t>12.328</w:t>
            </w:r>
          </w:p>
        </w:tc>
        <w:tc>
          <w:tcPr>
            <w:tcW w:w="829" w:type="dxa"/>
            <w:vAlign w:val="center"/>
          </w:tcPr>
          <w:p w:rsidR="00CF0302" w:rsidRDefault="00CF0302" w:rsidP="00177F9C">
            <w:pPr>
              <w:spacing w:before="60" w:after="60"/>
              <w:ind w:left="-83"/>
              <w:jc w:val="right"/>
              <w:rPr>
                <w:rFonts w:ascii="Arial" w:hAnsi="Arial" w:cs="Arial"/>
                <w:noProof/>
                <w:sz w:val="12"/>
                <w:szCs w:val="12"/>
              </w:rPr>
            </w:pPr>
          </w:p>
        </w:tc>
        <w:tc>
          <w:tcPr>
            <w:tcW w:w="829" w:type="dxa"/>
            <w:vAlign w:val="center"/>
          </w:tcPr>
          <w:p w:rsidR="00CF0302" w:rsidRDefault="00CF0302" w:rsidP="00177F9C">
            <w:pPr>
              <w:spacing w:before="60" w:after="60"/>
              <w:ind w:left="-83"/>
              <w:jc w:val="right"/>
              <w:rPr>
                <w:rFonts w:ascii="Arial" w:hAnsi="Arial" w:cs="Arial"/>
                <w:noProof/>
                <w:sz w:val="12"/>
                <w:szCs w:val="12"/>
              </w:rPr>
            </w:pPr>
          </w:p>
        </w:tc>
        <w:tc>
          <w:tcPr>
            <w:tcW w:w="829" w:type="dxa"/>
            <w:vAlign w:val="center"/>
          </w:tcPr>
          <w:p w:rsidR="00CF0302" w:rsidRDefault="00CF0302" w:rsidP="00177F9C">
            <w:pPr>
              <w:spacing w:before="60" w:after="60"/>
              <w:ind w:left="-83"/>
              <w:jc w:val="right"/>
              <w:rPr>
                <w:rFonts w:ascii="Arial" w:hAnsi="Arial" w:cs="Arial"/>
                <w:noProof/>
                <w:sz w:val="12"/>
                <w:szCs w:val="12"/>
              </w:rPr>
            </w:pPr>
          </w:p>
        </w:tc>
        <w:tc>
          <w:tcPr>
            <w:tcW w:w="829" w:type="dxa"/>
            <w:vAlign w:val="center"/>
          </w:tcPr>
          <w:p w:rsidR="00CF0302" w:rsidRDefault="00CF0302" w:rsidP="00177F9C">
            <w:pPr>
              <w:spacing w:before="60" w:after="60"/>
              <w:ind w:left="-83"/>
              <w:jc w:val="right"/>
              <w:rPr>
                <w:rFonts w:ascii="Arial" w:hAnsi="Arial" w:cs="Arial"/>
                <w:noProof/>
                <w:sz w:val="12"/>
                <w:szCs w:val="12"/>
              </w:rPr>
            </w:pPr>
            <w:r w:rsidRPr="00B65E2B">
              <w:rPr>
                <w:rFonts w:ascii="Arial" w:hAnsi="Arial" w:cs="Arial"/>
                <w:noProof/>
                <w:sz w:val="18"/>
                <w:szCs w:val="18"/>
              </w:rPr>
              <w:t>24.731</w:t>
            </w:r>
          </w:p>
        </w:tc>
      </w:tr>
    </w:tbl>
    <w:p w:rsidR="00CF0302" w:rsidRDefault="00CF0302">
      <w:pPr>
        <w:rPr>
          <w:rFonts w:ascii="Arial" w:hAnsi="Arial" w:cs="Arial"/>
          <w:b/>
          <w:sz w:val="22"/>
          <w:szCs w:val="22"/>
        </w:rPr>
      </w:pPr>
      <w:r>
        <w:rPr>
          <w:rFonts w:ascii="Arial" w:hAnsi="Arial" w:cs="Arial"/>
          <w:b/>
          <w:sz w:val="22"/>
          <w:szCs w:val="22"/>
        </w:rPr>
        <w:br w:type="page"/>
      </w:r>
    </w:p>
    <w:p w:rsidR="00517824" w:rsidRPr="00517824" w:rsidRDefault="00517824" w:rsidP="00CF0302">
      <w:pPr>
        <w:spacing w:before="120" w:after="120" w:line="360" w:lineRule="auto"/>
        <w:rPr>
          <w:rFonts w:ascii="Arial" w:hAnsi="Arial" w:cs="Arial"/>
          <w:b/>
          <w:sz w:val="22"/>
          <w:szCs w:val="22"/>
        </w:rPr>
      </w:pPr>
      <w:r w:rsidRPr="00517824">
        <w:rPr>
          <w:rFonts w:ascii="Arial" w:hAnsi="Arial" w:cs="Arial"/>
          <w:b/>
          <w:sz w:val="22"/>
          <w:szCs w:val="22"/>
        </w:rPr>
        <w:lastRenderedPageBreak/>
        <w:t xml:space="preserve">6. </w:t>
      </w:r>
      <w:r w:rsidR="00A80B4B" w:rsidRPr="00517824">
        <w:rPr>
          <w:rFonts w:ascii="Arial" w:hAnsi="Arial" w:cs="Arial"/>
          <w:b/>
          <w:sz w:val="22"/>
          <w:szCs w:val="22"/>
        </w:rPr>
        <w:t>HI</w:t>
      </w:r>
      <w:r w:rsidR="00177F9C">
        <w:rPr>
          <w:rFonts w:ascii="Arial" w:hAnsi="Arial" w:cs="Arial"/>
          <w:b/>
          <w:sz w:val="22"/>
          <w:szCs w:val="22"/>
        </w:rPr>
        <w:t>TOS Y OBJETIVOS DE LA INVERSIÓN</w:t>
      </w:r>
    </w:p>
    <w:p w:rsidR="00A810EF" w:rsidRPr="00A810EF" w:rsidRDefault="00A810EF" w:rsidP="00CF0302">
      <w:pPr>
        <w:spacing w:before="120" w:after="120" w:line="360" w:lineRule="auto"/>
        <w:ind w:firstLine="708"/>
        <w:jc w:val="both"/>
        <w:rPr>
          <w:rFonts w:ascii="Arial" w:hAnsi="Arial" w:cs="Arial"/>
          <w:sz w:val="22"/>
          <w:szCs w:val="22"/>
        </w:rPr>
      </w:pPr>
      <w:r w:rsidRPr="00A810EF">
        <w:rPr>
          <w:rFonts w:ascii="Arial" w:hAnsi="Arial" w:cs="Arial"/>
          <w:sz w:val="22"/>
          <w:szCs w:val="22"/>
        </w:rPr>
        <w:t>Desde la Secretaria General de Administración Digital, unidad coordinadora del componente 11 del Plan de Recuperación, Transformación y Resiliencia, se nos ha indicado que esta inversión no llevará asociado ningún hito en la propuesta final a realizar a la Comisión</w:t>
      </w:r>
      <w:r w:rsidR="002725C3">
        <w:rPr>
          <w:rFonts w:ascii="Arial" w:hAnsi="Arial" w:cs="Arial"/>
          <w:sz w:val="22"/>
          <w:szCs w:val="22"/>
        </w:rPr>
        <w:t>,</w:t>
      </w:r>
      <w:r w:rsidRPr="00A810EF">
        <w:rPr>
          <w:rFonts w:ascii="Arial" w:hAnsi="Arial" w:cs="Arial"/>
          <w:sz w:val="22"/>
          <w:szCs w:val="22"/>
        </w:rPr>
        <w:t xml:space="preserve"> sino que irá inmersa en alguno de los hitos de los proyectos generales de dicho componente. No obstante, hemos desarrollado una serie de hitos para el seguim</w:t>
      </w:r>
      <w:r w:rsidR="00177F9C">
        <w:rPr>
          <w:rFonts w:ascii="Arial" w:hAnsi="Arial" w:cs="Arial"/>
          <w:sz w:val="22"/>
          <w:szCs w:val="22"/>
        </w:rPr>
        <w:t>iento interno de la inversión.</w:t>
      </w:r>
    </w:p>
    <w:p w:rsidR="00A810EF" w:rsidRPr="00A810EF" w:rsidRDefault="00A810EF" w:rsidP="00CF0302">
      <w:pPr>
        <w:spacing w:before="120" w:after="120" w:line="360" w:lineRule="auto"/>
        <w:ind w:firstLine="708"/>
        <w:jc w:val="both"/>
        <w:rPr>
          <w:rFonts w:ascii="Arial" w:hAnsi="Arial" w:cs="Arial"/>
          <w:sz w:val="22"/>
          <w:szCs w:val="22"/>
        </w:rPr>
      </w:pPr>
      <w:r w:rsidRPr="00A810EF">
        <w:rPr>
          <w:rFonts w:ascii="Arial" w:hAnsi="Arial" w:cs="Arial"/>
          <w:sz w:val="22"/>
          <w:szCs w:val="22"/>
        </w:rPr>
        <w:t>Se realizarán las verificaciones de los proyectos reglamentarias, tanto por la propia administración ejecutora de la inversión</w:t>
      </w:r>
      <w:r w:rsidR="002725C3">
        <w:rPr>
          <w:rFonts w:ascii="Arial" w:hAnsi="Arial" w:cs="Arial"/>
          <w:sz w:val="22"/>
          <w:szCs w:val="22"/>
        </w:rPr>
        <w:t>,</w:t>
      </w:r>
      <w:r w:rsidRPr="00A810EF">
        <w:rPr>
          <w:rFonts w:ascii="Arial" w:hAnsi="Arial" w:cs="Arial"/>
          <w:sz w:val="22"/>
          <w:szCs w:val="22"/>
        </w:rPr>
        <w:t xml:space="preserve"> como por la Intervención General de la Administración del Estado (IGAE), quienes emitirán los correspondientes informes, realizándose las comprobaciones materiales de las inversiones.</w:t>
      </w:r>
    </w:p>
    <w:p w:rsidR="00A810EF" w:rsidRPr="00A810EF" w:rsidRDefault="00A810EF" w:rsidP="00CF0302">
      <w:pPr>
        <w:spacing w:before="120" w:after="120" w:line="360" w:lineRule="auto"/>
        <w:ind w:firstLine="708"/>
        <w:jc w:val="both"/>
        <w:rPr>
          <w:rFonts w:ascii="Arial" w:hAnsi="Arial" w:cs="Arial"/>
          <w:sz w:val="22"/>
          <w:szCs w:val="22"/>
        </w:rPr>
      </w:pPr>
      <w:r w:rsidRPr="00A810EF">
        <w:rPr>
          <w:rFonts w:ascii="Arial" w:hAnsi="Arial" w:cs="Arial"/>
          <w:sz w:val="22"/>
          <w:szCs w:val="22"/>
        </w:rPr>
        <w:t>Proyecto Tractor de digitalización de la Administración General del Estado: desarrollo del Sistema de Información de Explotaciones Agrarias (SIEX).</w:t>
      </w:r>
    </w:p>
    <w:p w:rsidR="00A810EF" w:rsidRPr="00A810EF" w:rsidRDefault="00A810EF" w:rsidP="008823D1">
      <w:pPr>
        <w:numPr>
          <w:ilvl w:val="0"/>
          <w:numId w:val="4"/>
        </w:numPr>
        <w:spacing w:before="120" w:after="120" w:line="360" w:lineRule="auto"/>
        <w:ind w:left="709" w:hanging="284"/>
        <w:jc w:val="both"/>
        <w:rPr>
          <w:rFonts w:ascii="Arial" w:hAnsi="Arial" w:cs="Arial"/>
          <w:sz w:val="22"/>
          <w:szCs w:val="22"/>
        </w:rPr>
      </w:pPr>
      <w:r w:rsidRPr="00A810EF">
        <w:rPr>
          <w:rFonts w:ascii="Arial" w:hAnsi="Arial" w:cs="Arial"/>
          <w:sz w:val="22"/>
          <w:szCs w:val="22"/>
        </w:rPr>
        <w:t>Hito 1: Publicación del Real Decreto sobre el cuaderno de explotación telemático y el sistema SIEX (Q4 2021)</w:t>
      </w:r>
      <w:r w:rsidR="000053A8">
        <w:rPr>
          <w:rFonts w:ascii="Arial" w:hAnsi="Arial" w:cs="Arial"/>
          <w:sz w:val="22"/>
          <w:szCs w:val="22"/>
        </w:rPr>
        <w:t>.</w:t>
      </w:r>
      <w:r w:rsidRPr="00A810EF">
        <w:rPr>
          <w:rFonts w:ascii="Arial" w:hAnsi="Arial" w:cs="Arial"/>
          <w:sz w:val="22"/>
          <w:szCs w:val="22"/>
        </w:rPr>
        <w:t xml:space="preserve"> </w:t>
      </w:r>
    </w:p>
    <w:p w:rsidR="00A810EF" w:rsidRPr="00A810EF" w:rsidRDefault="00A810EF" w:rsidP="00CF0302">
      <w:pPr>
        <w:numPr>
          <w:ilvl w:val="1"/>
          <w:numId w:val="4"/>
        </w:numPr>
        <w:spacing w:before="120" w:after="120" w:line="360" w:lineRule="auto"/>
        <w:jc w:val="both"/>
        <w:rPr>
          <w:rFonts w:ascii="Arial" w:hAnsi="Arial" w:cs="Arial"/>
          <w:sz w:val="22"/>
          <w:szCs w:val="22"/>
        </w:rPr>
      </w:pPr>
      <w:r w:rsidRPr="00A810EF">
        <w:rPr>
          <w:rFonts w:ascii="Arial" w:hAnsi="Arial" w:cs="Arial"/>
          <w:sz w:val="22"/>
          <w:szCs w:val="22"/>
        </w:rPr>
        <w:t>Objetivo 1.1 : Puesta en producción de la aplicación informática que permita la gestión del cuaderno de explotación telemático (Q1 2022)</w:t>
      </w:r>
      <w:r w:rsidR="000053A8">
        <w:rPr>
          <w:rFonts w:ascii="Arial" w:hAnsi="Arial" w:cs="Arial"/>
          <w:sz w:val="22"/>
          <w:szCs w:val="22"/>
        </w:rPr>
        <w:t>.</w:t>
      </w:r>
      <w:r w:rsidRPr="00A810EF">
        <w:rPr>
          <w:rFonts w:ascii="Arial" w:hAnsi="Arial" w:cs="Arial"/>
          <w:sz w:val="22"/>
          <w:szCs w:val="22"/>
        </w:rPr>
        <w:t xml:space="preserve"> </w:t>
      </w:r>
    </w:p>
    <w:p w:rsidR="00A810EF" w:rsidRPr="00A810EF" w:rsidRDefault="00A810EF" w:rsidP="00CF0302">
      <w:pPr>
        <w:numPr>
          <w:ilvl w:val="1"/>
          <w:numId w:val="4"/>
        </w:numPr>
        <w:spacing w:before="120" w:after="120" w:line="360" w:lineRule="auto"/>
        <w:jc w:val="both"/>
        <w:rPr>
          <w:rFonts w:ascii="Arial" w:hAnsi="Arial" w:cs="Arial"/>
          <w:sz w:val="22"/>
          <w:szCs w:val="22"/>
        </w:rPr>
      </w:pPr>
      <w:r w:rsidRPr="00A810EF">
        <w:rPr>
          <w:rFonts w:ascii="Arial" w:hAnsi="Arial" w:cs="Arial"/>
          <w:sz w:val="22"/>
          <w:szCs w:val="22"/>
        </w:rPr>
        <w:t xml:space="preserve">Objetivo 1.2 : Puesta en producción de la aplicación informática SIEX y utilización de la misma en la precumplimentación de las solicitudes de la PAC (Q2 2022). </w:t>
      </w:r>
    </w:p>
    <w:p w:rsidR="00A810EF" w:rsidRPr="00A810EF" w:rsidRDefault="00A810EF" w:rsidP="008823D1">
      <w:pPr>
        <w:numPr>
          <w:ilvl w:val="0"/>
          <w:numId w:val="4"/>
        </w:numPr>
        <w:spacing w:before="120" w:after="120" w:line="360" w:lineRule="auto"/>
        <w:ind w:left="709" w:hanging="284"/>
        <w:jc w:val="both"/>
        <w:rPr>
          <w:rFonts w:ascii="Arial" w:hAnsi="Arial" w:cs="Arial"/>
          <w:sz w:val="22"/>
          <w:szCs w:val="22"/>
        </w:rPr>
      </w:pPr>
      <w:r w:rsidRPr="00A810EF">
        <w:rPr>
          <w:rFonts w:ascii="Arial" w:hAnsi="Arial" w:cs="Arial"/>
          <w:sz w:val="22"/>
          <w:szCs w:val="22"/>
        </w:rPr>
        <w:t>Hito 2: Publicación del Real Decreto relativo al seguimiento de indicadores de la PAC 2023-2027 y de determinados</w:t>
      </w:r>
      <w:r w:rsidR="00B8047D">
        <w:rPr>
          <w:rFonts w:ascii="Arial" w:hAnsi="Arial" w:cs="Arial"/>
          <w:sz w:val="22"/>
          <w:szCs w:val="22"/>
        </w:rPr>
        <w:t xml:space="preserve"> indicadores del “Green Deal” </w:t>
      </w:r>
      <w:r w:rsidRPr="00A810EF">
        <w:rPr>
          <w:rFonts w:ascii="Arial" w:hAnsi="Arial" w:cs="Arial"/>
          <w:sz w:val="22"/>
          <w:szCs w:val="22"/>
        </w:rPr>
        <w:t>(Q4 2022)</w:t>
      </w:r>
      <w:r w:rsidR="000053A8">
        <w:rPr>
          <w:rFonts w:ascii="Arial" w:hAnsi="Arial" w:cs="Arial"/>
          <w:sz w:val="22"/>
          <w:szCs w:val="22"/>
        </w:rPr>
        <w:t>.</w:t>
      </w:r>
    </w:p>
    <w:p w:rsidR="00A810EF" w:rsidRPr="00A810EF" w:rsidRDefault="00A810EF" w:rsidP="00CF0302">
      <w:pPr>
        <w:numPr>
          <w:ilvl w:val="1"/>
          <w:numId w:val="4"/>
        </w:numPr>
        <w:spacing w:before="120" w:after="120" w:line="360" w:lineRule="auto"/>
        <w:jc w:val="both"/>
        <w:rPr>
          <w:rFonts w:ascii="Arial" w:hAnsi="Arial" w:cs="Arial"/>
          <w:sz w:val="22"/>
          <w:szCs w:val="22"/>
        </w:rPr>
      </w:pPr>
      <w:r w:rsidRPr="00A810EF">
        <w:rPr>
          <w:rFonts w:ascii="Arial" w:hAnsi="Arial" w:cs="Arial"/>
          <w:sz w:val="22"/>
          <w:szCs w:val="22"/>
        </w:rPr>
        <w:t>Objetivo 2.1. Puesta en marcha de un sistema de Monitorizaci</w:t>
      </w:r>
      <w:r w:rsidR="000053A8">
        <w:rPr>
          <w:rFonts w:ascii="Arial" w:hAnsi="Arial" w:cs="Arial"/>
          <w:sz w:val="22"/>
          <w:szCs w:val="22"/>
        </w:rPr>
        <w:t>ó</w:t>
      </w:r>
      <w:r w:rsidRPr="00A810EF">
        <w:rPr>
          <w:rFonts w:ascii="Arial" w:hAnsi="Arial" w:cs="Arial"/>
          <w:sz w:val="22"/>
          <w:szCs w:val="22"/>
        </w:rPr>
        <w:t>n de Superficies al 1</w:t>
      </w:r>
      <w:r w:rsidR="00B8047D">
        <w:rPr>
          <w:rFonts w:ascii="Arial" w:hAnsi="Arial" w:cs="Arial"/>
          <w:sz w:val="22"/>
          <w:szCs w:val="22"/>
        </w:rPr>
        <w:t xml:space="preserve">00% de las explotaciones: </w:t>
      </w:r>
      <w:r w:rsidRPr="00A810EF">
        <w:rPr>
          <w:rFonts w:ascii="Arial" w:hAnsi="Arial" w:cs="Arial"/>
          <w:sz w:val="22"/>
          <w:szCs w:val="22"/>
        </w:rPr>
        <w:t>(Q1 2023).</w:t>
      </w:r>
    </w:p>
    <w:p w:rsidR="00A810EF" w:rsidRPr="00A810EF" w:rsidRDefault="00A810EF" w:rsidP="00CF0302">
      <w:pPr>
        <w:numPr>
          <w:ilvl w:val="1"/>
          <w:numId w:val="4"/>
        </w:numPr>
        <w:spacing w:before="120" w:after="120" w:line="360" w:lineRule="auto"/>
        <w:jc w:val="both"/>
        <w:rPr>
          <w:rFonts w:ascii="Arial" w:hAnsi="Arial" w:cs="Arial"/>
          <w:sz w:val="22"/>
          <w:szCs w:val="22"/>
        </w:rPr>
      </w:pPr>
      <w:r w:rsidRPr="00A810EF">
        <w:rPr>
          <w:rFonts w:ascii="Arial" w:hAnsi="Arial" w:cs="Arial"/>
          <w:sz w:val="22"/>
          <w:szCs w:val="22"/>
        </w:rPr>
        <w:t>Objetivo 2.2 Nuevo coeficiente de admisibilidad de pastos en SIGPAC (Q4 2022)</w:t>
      </w:r>
      <w:r w:rsidR="000053A8">
        <w:rPr>
          <w:rFonts w:ascii="Arial" w:hAnsi="Arial" w:cs="Arial"/>
          <w:sz w:val="22"/>
          <w:szCs w:val="22"/>
        </w:rPr>
        <w:t>.</w:t>
      </w:r>
    </w:p>
    <w:p w:rsidR="00517824" w:rsidRPr="001D509F" w:rsidRDefault="00A810EF" w:rsidP="00CF0302">
      <w:pPr>
        <w:numPr>
          <w:ilvl w:val="1"/>
          <w:numId w:val="4"/>
        </w:numPr>
        <w:spacing w:before="120" w:after="120" w:line="360" w:lineRule="auto"/>
        <w:jc w:val="both"/>
        <w:rPr>
          <w:rFonts w:ascii="Arial" w:hAnsi="Arial" w:cs="Arial"/>
          <w:sz w:val="22"/>
          <w:szCs w:val="22"/>
        </w:rPr>
      </w:pPr>
      <w:r w:rsidRPr="001D509F">
        <w:rPr>
          <w:rFonts w:ascii="Arial" w:hAnsi="Arial" w:cs="Arial"/>
          <w:sz w:val="22"/>
          <w:szCs w:val="22"/>
        </w:rPr>
        <w:t>Objetivo 2.3 Sistema “</w:t>
      </w:r>
      <w:r w:rsidR="00B8047D">
        <w:rPr>
          <w:rFonts w:ascii="Arial" w:hAnsi="Arial" w:cs="Arial"/>
          <w:sz w:val="22"/>
          <w:szCs w:val="22"/>
        </w:rPr>
        <w:t xml:space="preserve">sin solicitudes” de ayudas PAC </w:t>
      </w:r>
      <w:r w:rsidRPr="001D509F">
        <w:rPr>
          <w:rFonts w:ascii="Arial" w:hAnsi="Arial" w:cs="Arial"/>
          <w:sz w:val="22"/>
          <w:szCs w:val="22"/>
        </w:rPr>
        <w:t>(implantación progresiva 2023-2025).</w:t>
      </w:r>
    </w:p>
    <w:sectPr w:rsidR="00517824" w:rsidRPr="001D509F" w:rsidSect="00D20A82">
      <w:pgSz w:w="11907" w:h="16840" w:code="9"/>
      <w:pgMar w:top="1985" w:right="1134" w:bottom="1134" w:left="1985"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70BB" w:rsidRDefault="006070BB" w:rsidP="00A80B4B">
      <w:r>
        <w:separator/>
      </w:r>
    </w:p>
  </w:endnote>
  <w:endnote w:type="continuationSeparator" w:id="0">
    <w:p w:rsidR="006070BB" w:rsidRDefault="006070BB" w:rsidP="00A80B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70BB" w:rsidRDefault="006070BB" w:rsidP="00A80B4B">
      <w:r>
        <w:separator/>
      </w:r>
    </w:p>
  </w:footnote>
  <w:footnote w:type="continuationSeparator" w:id="0">
    <w:p w:rsidR="006070BB" w:rsidRDefault="006070BB" w:rsidP="00A80B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5A33EC"/>
    <w:multiLevelType w:val="hybridMultilevel"/>
    <w:tmpl w:val="32264F64"/>
    <w:lvl w:ilvl="0" w:tplc="0C0A000F">
      <w:start w:val="1"/>
      <w:numFmt w:val="decimal"/>
      <w:lvlText w:val="%1."/>
      <w:lvlJc w:val="left"/>
      <w:pPr>
        <w:ind w:left="1068" w:hanging="708"/>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244946CF"/>
    <w:multiLevelType w:val="hybridMultilevel"/>
    <w:tmpl w:val="81CC0BB6"/>
    <w:lvl w:ilvl="0" w:tplc="0C0A0001">
      <w:start w:val="1"/>
      <w:numFmt w:val="bullet"/>
      <w:lvlText w:val=""/>
      <w:lvlJc w:val="left"/>
      <w:pPr>
        <w:ind w:left="708" w:hanging="708"/>
      </w:pPr>
      <w:rPr>
        <w:rFonts w:ascii="Symbol" w:hAnsi="Symbol" w:hint="default"/>
      </w:rPr>
    </w:lvl>
    <w:lvl w:ilvl="1" w:tplc="0C0A0003">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2" w15:restartNumberingAfterBreak="0">
    <w:nsid w:val="5D38099F"/>
    <w:multiLevelType w:val="hybridMultilevel"/>
    <w:tmpl w:val="C19C0730"/>
    <w:lvl w:ilvl="0" w:tplc="454A94C4">
      <w:numFmt w:val="bullet"/>
      <w:lvlText w:val="-"/>
      <w:lvlJc w:val="left"/>
      <w:pPr>
        <w:ind w:left="1068" w:hanging="708"/>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65427271"/>
    <w:multiLevelType w:val="hybridMultilevel"/>
    <w:tmpl w:val="605AEBF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769D"/>
    <w:rsid w:val="000053A8"/>
    <w:rsid w:val="00012267"/>
    <w:rsid w:val="0006249A"/>
    <w:rsid w:val="00062AE0"/>
    <w:rsid w:val="00080CFF"/>
    <w:rsid w:val="000A1311"/>
    <w:rsid w:val="000C141E"/>
    <w:rsid w:val="000C68A4"/>
    <w:rsid w:val="000F3FBB"/>
    <w:rsid w:val="001144E1"/>
    <w:rsid w:val="00177F9C"/>
    <w:rsid w:val="001A5F87"/>
    <w:rsid w:val="001B34B9"/>
    <w:rsid w:val="001D509F"/>
    <w:rsid w:val="002725C3"/>
    <w:rsid w:val="002F0C59"/>
    <w:rsid w:val="0030314E"/>
    <w:rsid w:val="003154A2"/>
    <w:rsid w:val="003208C4"/>
    <w:rsid w:val="00343745"/>
    <w:rsid w:val="00382F6E"/>
    <w:rsid w:val="003A7E9B"/>
    <w:rsid w:val="003D56D8"/>
    <w:rsid w:val="00405157"/>
    <w:rsid w:val="0046397C"/>
    <w:rsid w:val="00517824"/>
    <w:rsid w:val="00564761"/>
    <w:rsid w:val="005B477A"/>
    <w:rsid w:val="005C4BF4"/>
    <w:rsid w:val="006022E2"/>
    <w:rsid w:val="006070BB"/>
    <w:rsid w:val="006125A7"/>
    <w:rsid w:val="006F018F"/>
    <w:rsid w:val="007B6373"/>
    <w:rsid w:val="007E37FC"/>
    <w:rsid w:val="007F10C2"/>
    <w:rsid w:val="007F3B1F"/>
    <w:rsid w:val="008076C5"/>
    <w:rsid w:val="008476C0"/>
    <w:rsid w:val="008620A4"/>
    <w:rsid w:val="008823D1"/>
    <w:rsid w:val="008B3CA0"/>
    <w:rsid w:val="008B6C42"/>
    <w:rsid w:val="008D6462"/>
    <w:rsid w:val="008F0C79"/>
    <w:rsid w:val="0093453B"/>
    <w:rsid w:val="00952F88"/>
    <w:rsid w:val="00991697"/>
    <w:rsid w:val="009A64D7"/>
    <w:rsid w:val="009A7074"/>
    <w:rsid w:val="00A06941"/>
    <w:rsid w:val="00A32DF7"/>
    <w:rsid w:val="00A44DEA"/>
    <w:rsid w:val="00A510D5"/>
    <w:rsid w:val="00A80B4B"/>
    <w:rsid w:val="00A810EF"/>
    <w:rsid w:val="00A9503D"/>
    <w:rsid w:val="00AE318F"/>
    <w:rsid w:val="00B30BB6"/>
    <w:rsid w:val="00B65E2B"/>
    <w:rsid w:val="00B6769D"/>
    <w:rsid w:val="00B8047D"/>
    <w:rsid w:val="00B80D92"/>
    <w:rsid w:val="00BB64BC"/>
    <w:rsid w:val="00BC1570"/>
    <w:rsid w:val="00BE5B5A"/>
    <w:rsid w:val="00C27473"/>
    <w:rsid w:val="00C87CB2"/>
    <w:rsid w:val="00CA5DBC"/>
    <w:rsid w:val="00CB75ED"/>
    <w:rsid w:val="00CF0302"/>
    <w:rsid w:val="00D20A82"/>
    <w:rsid w:val="00D268BD"/>
    <w:rsid w:val="00D46D8D"/>
    <w:rsid w:val="00D852E3"/>
    <w:rsid w:val="00E33709"/>
    <w:rsid w:val="00ED092E"/>
    <w:rsid w:val="00F03711"/>
    <w:rsid w:val="00F0541E"/>
    <w:rsid w:val="00F26395"/>
    <w:rsid w:val="00F92F51"/>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879C1B"/>
  <w15:docId w15:val="{EC5E6278-3968-4AC8-8964-9C11EE20D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8620A4"/>
    <w:pPr>
      <w:ind w:left="720"/>
      <w:contextualSpacing/>
    </w:pPr>
  </w:style>
  <w:style w:type="table" w:styleId="Tablaconcuadrcula">
    <w:name w:val="Table Grid"/>
    <w:basedOn w:val="Tablanormal"/>
    <w:rsid w:val="008620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semiHidden/>
    <w:unhideWhenUsed/>
    <w:rsid w:val="003208C4"/>
    <w:rPr>
      <w:rFonts w:ascii="Segoe UI" w:hAnsi="Segoe UI" w:cs="Segoe UI"/>
      <w:sz w:val="18"/>
      <w:szCs w:val="18"/>
    </w:rPr>
  </w:style>
  <w:style w:type="character" w:customStyle="1" w:styleId="TextodegloboCar">
    <w:name w:val="Texto de globo Car"/>
    <w:basedOn w:val="Fuentedeprrafopredeter"/>
    <w:link w:val="Textodeglobo"/>
    <w:semiHidden/>
    <w:rsid w:val="003208C4"/>
    <w:rPr>
      <w:rFonts w:ascii="Segoe UI" w:hAnsi="Segoe UI" w:cs="Segoe UI"/>
      <w:sz w:val="18"/>
      <w:szCs w:val="18"/>
      <w:lang w:val="es-ES_tradnl"/>
    </w:rPr>
  </w:style>
  <w:style w:type="table" w:customStyle="1" w:styleId="Tablaconcuadrcula1">
    <w:name w:val="Tabla con cuadrícula1"/>
    <w:basedOn w:val="Tablanormal"/>
    <w:next w:val="Tablaconcuadrcula"/>
    <w:rsid w:val="00A810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nhideWhenUsed/>
    <w:rsid w:val="00A80B4B"/>
    <w:pPr>
      <w:tabs>
        <w:tab w:val="center" w:pos="4252"/>
        <w:tab w:val="right" w:pos="8504"/>
      </w:tabs>
    </w:pPr>
  </w:style>
  <w:style w:type="character" w:customStyle="1" w:styleId="EncabezadoCar">
    <w:name w:val="Encabezado Car"/>
    <w:basedOn w:val="Fuentedeprrafopredeter"/>
    <w:link w:val="Encabezado"/>
    <w:rsid w:val="00A80B4B"/>
    <w:rPr>
      <w:lang w:val="es-ES_tradnl"/>
    </w:rPr>
  </w:style>
  <w:style w:type="paragraph" w:styleId="Piedepgina">
    <w:name w:val="footer"/>
    <w:basedOn w:val="Normal"/>
    <w:link w:val="PiedepginaCar"/>
    <w:unhideWhenUsed/>
    <w:rsid w:val="00A80B4B"/>
    <w:pPr>
      <w:tabs>
        <w:tab w:val="center" w:pos="4252"/>
        <w:tab w:val="right" w:pos="8504"/>
      </w:tabs>
    </w:pPr>
  </w:style>
  <w:style w:type="character" w:customStyle="1" w:styleId="PiedepginaCar">
    <w:name w:val="Pie de página Car"/>
    <w:basedOn w:val="Fuentedeprrafopredeter"/>
    <w:link w:val="Piedepgina"/>
    <w:rsid w:val="00A80B4B"/>
    <w:rPr>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8127862">
      <w:bodyDiv w:val="1"/>
      <w:marLeft w:val="0"/>
      <w:marRight w:val="0"/>
      <w:marTop w:val="0"/>
      <w:marBottom w:val="0"/>
      <w:divBdr>
        <w:top w:val="none" w:sz="0" w:space="0" w:color="auto"/>
        <w:left w:val="none" w:sz="0" w:space="0" w:color="auto"/>
        <w:bottom w:val="none" w:sz="0" w:space="0" w:color="auto"/>
        <w:right w:val="none" w:sz="0" w:space="0" w:color="auto"/>
      </w:divBdr>
    </w:div>
    <w:div w:id="471755209">
      <w:bodyDiv w:val="1"/>
      <w:marLeft w:val="0"/>
      <w:marRight w:val="0"/>
      <w:marTop w:val="0"/>
      <w:marBottom w:val="0"/>
      <w:divBdr>
        <w:top w:val="none" w:sz="0" w:space="0" w:color="auto"/>
        <w:left w:val="none" w:sz="0" w:space="0" w:color="auto"/>
        <w:bottom w:val="none" w:sz="0" w:space="0" w:color="auto"/>
        <w:right w:val="none" w:sz="0" w:space="0" w:color="auto"/>
      </w:divBdr>
    </w:div>
    <w:div w:id="976644411">
      <w:bodyDiv w:val="1"/>
      <w:marLeft w:val="0"/>
      <w:marRight w:val="0"/>
      <w:marTop w:val="0"/>
      <w:marBottom w:val="0"/>
      <w:divBdr>
        <w:top w:val="none" w:sz="0" w:space="0" w:color="auto"/>
        <w:left w:val="none" w:sz="0" w:space="0" w:color="auto"/>
        <w:bottom w:val="none" w:sz="0" w:space="0" w:color="auto"/>
        <w:right w:val="none" w:sz="0" w:space="0" w:color="auto"/>
      </w:divBdr>
    </w:div>
    <w:div w:id="1516263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149799-AEC4-44CB-B9A8-33BCE274B5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4</Pages>
  <Words>1377</Words>
  <Characters>7551</Characters>
  <Application>Microsoft Office Word</Application>
  <DocSecurity>0</DocSecurity>
  <Lines>62</Lines>
  <Paragraphs>17</Paragraphs>
  <ScaleCrop>false</ScaleCrop>
  <HeadingPairs>
    <vt:vector size="2" baseType="variant">
      <vt:variant>
        <vt:lpstr>Título</vt:lpstr>
      </vt:variant>
      <vt:variant>
        <vt:i4>1</vt:i4>
      </vt:variant>
    </vt:vector>
  </HeadingPairs>
  <TitlesOfParts>
    <vt:vector size="1" baseType="lpstr">
      <vt:lpstr>Ficha P202 (Presupuestos Generales del Estado para 1999)</vt:lpstr>
    </vt:vector>
  </TitlesOfParts>
  <Company>SGAPP</Company>
  <LinksUpToDate>false</LinksUpToDate>
  <CharactersWithSpaces>8911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Ficha P202 (Presupuestos Generales del Estado para 1999)</dc:title>
  <dc:creator>otro usuario</dc:creator>
  <cp:lastModifiedBy>Barber Baldó, Juan Luís</cp:lastModifiedBy>
  <cp:revision>7</cp:revision>
  <cp:lastPrinted>2021-10-05T07:35:00Z</cp:lastPrinted>
  <dcterms:created xsi:type="dcterms:W3CDTF">2022-01-11T09:58:00Z</dcterms:created>
  <dcterms:modified xsi:type="dcterms:W3CDTF">2022-01-18T17:26:00Z</dcterms:modified>
</cp:coreProperties>
</file>